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35562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355627" w:rsidRDefault="00FB1897" w:rsidP="00355627">
            <w:pPr>
              <w:spacing w:after="80" w:line="300" w:lineRule="exact"/>
              <w:rPr>
                <w:sz w:val="28"/>
              </w:rPr>
            </w:pPr>
            <w:r w:rsidRPr="00355627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35562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355627">
            <w:pPr>
              <w:jc w:val="right"/>
            </w:pPr>
            <w:r w:rsidRPr="00355627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FE00E3">
                <w:t>TRANS/WP.15/222/Add.1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35562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68509C" w:rsidP="00355627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355627" w:rsidRDefault="00FB1897" w:rsidP="0035562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35562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35562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355627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FB1897" w:rsidRPr="00245892" w:rsidRDefault="00FB1897" w:rsidP="00F77538">
            <w:fldSimple w:instr=" FILLIN  &quot;Введите дату документа&quot; \* MERGEFORMAT ">
              <w:r w:rsidR="00FE00E3">
                <w:t>26 May 2014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355627" w:rsidRDefault="00FB1897" w:rsidP="00F77538">
            <w:pPr>
              <w:rPr>
                <w:lang w:val="en-US"/>
              </w:rPr>
            </w:pPr>
            <w:r w:rsidRPr="00245892">
              <w:t>Original:</w:t>
            </w:r>
            <w:r w:rsidR="00FE00E3" w:rsidRPr="00355627">
              <w:rPr>
                <w:lang w:val="en-US"/>
              </w:rPr>
              <w:t xml:space="preserve"> French and English</w:t>
            </w:r>
          </w:p>
          <w:p w:rsidR="00FB1897" w:rsidRPr="00245892" w:rsidRDefault="00FB1897" w:rsidP="00355627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86293" w:rsidRPr="00980610" w:rsidRDefault="00A86293" w:rsidP="00A86293">
      <w:pPr>
        <w:spacing w:before="120"/>
        <w:rPr>
          <w:b/>
          <w:sz w:val="28"/>
          <w:szCs w:val="28"/>
        </w:rPr>
      </w:pPr>
      <w:r w:rsidRPr="00980610">
        <w:rPr>
          <w:sz w:val="28"/>
          <w:szCs w:val="28"/>
        </w:rPr>
        <w:t>Комитет по внутреннему транспорту</w:t>
      </w:r>
    </w:p>
    <w:p w:rsidR="00A86293" w:rsidRPr="00980610" w:rsidRDefault="00A86293" w:rsidP="00A86293">
      <w:pPr>
        <w:spacing w:before="120"/>
        <w:rPr>
          <w:b/>
          <w:sz w:val="24"/>
          <w:szCs w:val="24"/>
        </w:rPr>
      </w:pPr>
      <w:r w:rsidRPr="00980610">
        <w:rPr>
          <w:b/>
          <w:sz w:val="24"/>
          <w:szCs w:val="24"/>
        </w:rPr>
        <w:t>Рабочая группа по перевозкам опасных грузов</w:t>
      </w:r>
    </w:p>
    <w:p w:rsidR="00A86293" w:rsidRPr="00730059" w:rsidRDefault="00A86293" w:rsidP="00A86293">
      <w:pPr>
        <w:pStyle w:val="HChGR"/>
        <w:rPr>
          <w:bCs/>
        </w:rPr>
      </w:pPr>
      <w:r w:rsidRPr="00730059">
        <w:tab/>
      </w:r>
      <w:r w:rsidRPr="00730059">
        <w:tab/>
        <w:t>Европейское соглашение о международной дорожной перевозке опасных грузов (ДОПОГ)</w:t>
      </w:r>
    </w:p>
    <w:p w:rsidR="00A86293" w:rsidRPr="00730059" w:rsidRDefault="00A86293" w:rsidP="00A86293">
      <w:pPr>
        <w:pStyle w:val="H1GR"/>
      </w:pPr>
      <w:r w:rsidRPr="00730059">
        <w:tab/>
      </w:r>
      <w:r w:rsidRPr="00730059">
        <w:tab/>
        <w:t>Проект поправок к приложениям</w:t>
      </w:r>
      <w:r w:rsidR="009E485E">
        <w:t xml:space="preserve"> </w:t>
      </w:r>
      <w:r w:rsidRPr="00730059">
        <w:t>А и В к ДОПОГ</w:t>
      </w:r>
    </w:p>
    <w:p w:rsidR="00A86293" w:rsidRPr="00730059" w:rsidRDefault="00A86293" w:rsidP="00A86293">
      <w:pPr>
        <w:pStyle w:val="H23GR"/>
      </w:pPr>
      <w:r w:rsidRPr="00730059">
        <w:tab/>
      </w:r>
      <w:r w:rsidRPr="00730059">
        <w:tab/>
        <w:t>Добавление</w:t>
      </w:r>
    </w:p>
    <w:p w:rsidR="00A86293" w:rsidRPr="00730059" w:rsidRDefault="00A86293" w:rsidP="00A86293">
      <w:pPr>
        <w:pStyle w:val="SingleTxtGR"/>
      </w:pPr>
      <w:r>
        <w:rPr>
          <w:lang w:val="en-US"/>
        </w:rPr>
        <w:tab/>
      </w:r>
      <w:r w:rsidRPr="00730059">
        <w:t>На своей девяносто шестой сессии Рабочая группа по перевозкам опа</w:t>
      </w:r>
      <w:r w:rsidRPr="00730059">
        <w:t>с</w:t>
      </w:r>
      <w:r w:rsidRPr="00730059">
        <w:t>ных грузов просила секретариат распространить дополнительный перечень п</w:t>
      </w:r>
      <w:r w:rsidRPr="00730059">
        <w:t>о</w:t>
      </w:r>
      <w:r w:rsidRPr="00730059">
        <w:t xml:space="preserve">правок, вступление которых в силу предусмотрено с 1 января 2015 года, в виде добавления к документу </w:t>
      </w:r>
      <w:r w:rsidRPr="00730059">
        <w:rPr>
          <w:lang w:val="en-GB"/>
        </w:rPr>
        <w:t>ECE</w:t>
      </w:r>
      <w:r w:rsidRPr="00730059">
        <w:t>/</w:t>
      </w:r>
      <w:r w:rsidRPr="00730059">
        <w:rPr>
          <w:lang w:val="en-GB"/>
        </w:rPr>
        <w:t>TRANS</w:t>
      </w:r>
      <w:r w:rsidRPr="00730059">
        <w:t>/</w:t>
      </w:r>
      <w:r w:rsidRPr="00730059">
        <w:rPr>
          <w:lang w:val="en-GB"/>
        </w:rPr>
        <w:t>WP</w:t>
      </w:r>
      <w:r w:rsidRPr="00730059">
        <w:t>.15/222, которое Председатель пер</w:t>
      </w:r>
      <w:r w:rsidRPr="00730059">
        <w:t>е</w:t>
      </w:r>
      <w:r w:rsidRPr="00730059">
        <w:t>даст Договаривающимся сторонам через правительство его страны для прин</w:t>
      </w:r>
      <w:r w:rsidRPr="00730059">
        <w:t>я</w:t>
      </w:r>
      <w:r w:rsidRPr="00730059">
        <w:t>тия в соответствии с процедурой, предусмотренной статьей 14 ДОПОГ (см. </w:t>
      </w:r>
      <w:r w:rsidRPr="00730059">
        <w:rPr>
          <w:lang w:val="en-GB"/>
        </w:rPr>
        <w:t>ECE</w:t>
      </w:r>
      <w:r w:rsidRPr="00730059">
        <w:t>/</w:t>
      </w:r>
      <w:r w:rsidRPr="00730059">
        <w:rPr>
          <w:lang w:val="en-GB"/>
        </w:rPr>
        <w:t>TRANS</w:t>
      </w:r>
      <w:r w:rsidRPr="00730059">
        <w:t>/</w:t>
      </w:r>
      <w:r w:rsidRPr="00730059">
        <w:rPr>
          <w:lang w:val="en-GB"/>
        </w:rPr>
        <w:t>WP</w:t>
      </w:r>
      <w:r w:rsidRPr="00730059">
        <w:t>.15/224, пункт 62).</w:t>
      </w:r>
    </w:p>
    <w:p w:rsidR="00A86293" w:rsidRPr="00730059" w:rsidRDefault="00A86293" w:rsidP="00A86293">
      <w:pPr>
        <w:pStyle w:val="SingleTxtGR"/>
      </w:pPr>
      <w:r w:rsidRPr="00730059">
        <w:tab/>
        <w:t>В настоящем документе содержится запрошенный дополнительный пер</w:t>
      </w:r>
      <w:r w:rsidRPr="00730059">
        <w:t>е</w:t>
      </w:r>
      <w:r w:rsidRPr="00730059">
        <w:t>чень поправок, принятых Рабочей группой на ее девяносто шестой сессии.</w:t>
      </w:r>
    </w:p>
    <w:p w:rsidR="00B314AC" w:rsidRPr="00980610" w:rsidRDefault="00A86293" w:rsidP="00B314AC">
      <w:pPr>
        <w:pStyle w:val="HChGR"/>
      </w:pPr>
      <w:r>
        <w:br w:type="page"/>
      </w:r>
      <w:r w:rsidR="00B314AC" w:rsidRPr="00980610">
        <w:lastRenderedPageBreak/>
        <w:tab/>
      </w:r>
      <w:r w:rsidR="00B314AC" w:rsidRPr="00980610">
        <w:tab/>
        <w:t>Глава 1.1</w:t>
      </w:r>
    </w:p>
    <w:p w:rsidR="00B314AC" w:rsidRPr="00980610" w:rsidRDefault="00B314AC" w:rsidP="00B314AC">
      <w:pPr>
        <w:pStyle w:val="SingleTxtGR"/>
      </w:pPr>
      <w:r w:rsidRPr="00980610">
        <w:t>1.1.3.3</w:t>
      </w:r>
      <w:r w:rsidRPr="00980610">
        <w:tab/>
        <w:t>Включить новый пункт с) следующего содержания:</w:t>
      </w:r>
    </w:p>
    <w:p w:rsidR="00B314AC" w:rsidRPr="00980610" w:rsidRDefault="00B314AC" w:rsidP="00B314AC">
      <w:pPr>
        <w:pStyle w:val="SingleTxtGR"/>
        <w:rPr>
          <w:lang/>
        </w:rPr>
      </w:pPr>
      <w:r w:rsidRPr="00980610">
        <w:t>"</w:t>
      </w:r>
      <w:r w:rsidRPr="00980610">
        <w:rPr>
          <w:lang w:val="en-GB"/>
        </w:rPr>
        <w:t>c</w:t>
      </w:r>
      <w:r w:rsidRPr="00980610">
        <w:t>)</w:t>
      </w:r>
      <w:r w:rsidRPr="00980610">
        <w:tab/>
        <w:t>топлива, содержащегося в топливных баках внедорожной подвижной техники</w:t>
      </w:r>
      <w:r w:rsidRPr="00980610">
        <w:rPr>
          <w:vertAlign w:val="superscript"/>
        </w:rPr>
        <w:t>1</w:t>
      </w:r>
      <w:r w:rsidRPr="00980610">
        <w:t>, которая перевозится в качестве груза, если это топливо предназнач</w:t>
      </w:r>
      <w:r w:rsidRPr="00980610">
        <w:t>е</w:t>
      </w:r>
      <w:r w:rsidRPr="00980610">
        <w:t>но для обеспечения тяги или для функционирования любого оборудования т</w:t>
      </w:r>
      <w:r w:rsidRPr="00980610">
        <w:t>а</w:t>
      </w:r>
      <w:r w:rsidRPr="00980610">
        <w:t>кой техники. Топливо может перевозиться во встроенных топливных баках, к</w:t>
      </w:r>
      <w:r w:rsidRPr="00980610">
        <w:t>о</w:t>
      </w:r>
      <w:r w:rsidRPr="00980610">
        <w:t>торые непосредственно соединены с двигателем транспортного средства и/или оборудованием и отвечают нормативно-правовым требованиям. При необход</w:t>
      </w:r>
      <w:r w:rsidRPr="00980610">
        <w:t>и</w:t>
      </w:r>
      <w:r w:rsidRPr="00980610">
        <w:t>мости эта техника должна грузиться стоймя и закрепляться во избежание опр</w:t>
      </w:r>
      <w:r w:rsidRPr="00980610">
        <w:t>о</w:t>
      </w:r>
      <w:r w:rsidRPr="00980610">
        <w:t>кидывания".</w:t>
      </w:r>
    </w:p>
    <w:p w:rsidR="00B314AC" w:rsidRPr="00980610" w:rsidRDefault="00B314AC" w:rsidP="00B314AC">
      <w:pPr>
        <w:pStyle w:val="SingleTxtGR"/>
      </w:pPr>
      <w:r w:rsidRPr="00980610">
        <w:t>Текст сноски 1 гласит следующее:</w:t>
      </w:r>
    </w:p>
    <w:p w:rsidR="00B314AC" w:rsidRPr="00980610" w:rsidRDefault="00B314AC" w:rsidP="00B314AC">
      <w:pPr>
        <w:pStyle w:val="SingleTxtGR"/>
      </w:pPr>
      <w:r w:rsidRPr="00980610">
        <w:t>"</w:t>
      </w:r>
      <w:r w:rsidRPr="00980610">
        <w:rPr>
          <w:vertAlign w:val="superscript"/>
        </w:rPr>
        <w:t>1</w:t>
      </w:r>
      <w:r w:rsidRPr="00980610">
        <w:tab/>
        <w:t xml:space="preserve">Определение внедорожной подвижной техники см. в пункте 2.7 Сводной резолюции о конструкции транспортных средств (СР.3) (документ </w:t>
      </w:r>
      <w:r w:rsidRPr="00980610">
        <w:rPr>
          <w:iCs/>
          <w:lang w:val="en-GB"/>
        </w:rPr>
        <w:t>ECE</w:t>
      </w:r>
      <w:r w:rsidRPr="00980610">
        <w:rPr>
          <w:iCs/>
        </w:rPr>
        <w:t>/</w:t>
      </w:r>
      <w:r w:rsidRPr="00980610">
        <w:rPr>
          <w:iCs/>
          <w:lang w:val="en-GB"/>
        </w:rPr>
        <w:t>TRANS</w:t>
      </w:r>
      <w:r w:rsidRPr="00980610">
        <w:rPr>
          <w:iCs/>
        </w:rPr>
        <w:t>/</w:t>
      </w:r>
      <w:r w:rsidRPr="00980610">
        <w:rPr>
          <w:iCs/>
          <w:lang w:val="en-GB"/>
        </w:rPr>
        <w:t>WP</w:t>
      </w:r>
      <w:r w:rsidRPr="00980610">
        <w:rPr>
          <w:iCs/>
        </w:rPr>
        <w:t>.29/78/</w:t>
      </w:r>
      <w:r w:rsidRPr="00980610">
        <w:rPr>
          <w:iCs/>
          <w:lang w:val="en-GB"/>
        </w:rPr>
        <w:t>Rev</w:t>
      </w:r>
      <w:r w:rsidRPr="00980610">
        <w:rPr>
          <w:iCs/>
        </w:rPr>
        <w:t>.3</w:t>
      </w:r>
      <w:r w:rsidRPr="00980610">
        <w:t xml:space="preserve"> Организации Объединенных Наций) или в статье</w:t>
      </w:r>
      <w:r w:rsidRPr="00980610">
        <w:rPr>
          <w:lang w:val="en-US"/>
        </w:rPr>
        <w:t> </w:t>
      </w:r>
      <w:r w:rsidRPr="00980610">
        <w:t>2 Директивы 97/68/ЕС Европейского парламента и Совета от 16 декабря 1997 г</w:t>
      </w:r>
      <w:r w:rsidRPr="00980610">
        <w:t>о</w:t>
      </w:r>
      <w:r w:rsidRPr="00980610">
        <w:t>да о сближении законодательства государств-членов, касающегося принятия мер против выбросов газообразных загрязнителей и твердых частиц двигател</w:t>
      </w:r>
      <w:r w:rsidRPr="00980610">
        <w:t>я</w:t>
      </w:r>
      <w:r w:rsidRPr="00980610">
        <w:t>ми внутреннего сгорания, устанавливаемыми на внедорожной подвижной те</w:t>
      </w:r>
      <w:r w:rsidRPr="00980610">
        <w:t>х</w:t>
      </w:r>
      <w:r w:rsidRPr="00980610">
        <w:t xml:space="preserve">нике, опубликованной в </w:t>
      </w:r>
      <w:r w:rsidRPr="00980610">
        <w:rPr>
          <w:lang w:val="en-GB"/>
        </w:rPr>
        <w:t>Official</w:t>
      </w:r>
      <w:r w:rsidRPr="00980610">
        <w:t xml:space="preserve"> </w:t>
      </w:r>
      <w:r w:rsidRPr="00980610">
        <w:rPr>
          <w:lang w:val="en-GB"/>
        </w:rPr>
        <w:t>Journal</w:t>
      </w:r>
      <w:r w:rsidRPr="00980610">
        <w:t xml:space="preserve"> </w:t>
      </w:r>
      <w:r w:rsidRPr="00980610">
        <w:rPr>
          <w:lang w:val="en-GB"/>
        </w:rPr>
        <w:t>of</w:t>
      </w:r>
      <w:r w:rsidRPr="00980610">
        <w:t xml:space="preserve"> </w:t>
      </w:r>
      <w:r w:rsidRPr="00980610">
        <w:rPr>
          <w:lang w:val="en-GB"/>
        </w:rPr>
        <w:t>the</w:t>
      </w:r>
      <w:r w:rsidRPr="00980610">
        <w:t xml:space="preserve"> </w:t>
      </w:r>
      <w:r w:rsidRPr="00980610">
        <w:rPr>
          <w:lang w:val="en-GB"/>
        </w:rPr>
        <w:t>European</w:t>
      </w:r>
      <w:r w:rsidRPr="00980610">
        <w:t xml:space="preserve"> </w:t>
      </w:r>
      <w:r w:rsidRPr="00980610">
        <w:rPr>
          <w:lang w:val="en-GB"/>
        </w:rPr>
        <w:t>Comm</w:t>
      </w:r>
      <w:r w:rsidRPr="00980610">
        <w:rPr>
          <w:lang w:val="en-GB"/>
        </w:rPr>
        <w:t>u</w:t>
      </w:r>
      <w:r w:rsidRPr="00980610">
        <w:rPr>
          <w:lang w:val="en-GB"/>
        </w:rPr>
        <w:t>nities</w:t>
      </w:r>
      <w:r w:rsidRPr="00980610">
        <w:t xml:space="preserve"> № </w:t>
      </w:r>
      <w:r w:rsidRPr="00980610">
        <w:rPr>
          <w:lang w:val="en-GB"/>
        </w:rPr>
        <w:t>L </w:t>
      </w:r>
      <w:r w:rsidRPr="00980610">
        <w:t xml:space="preserve">059 </w:t>
      </w:r>
      <w:r w:rsidRPr="00980610">
        <w:rPr>
          <w:lang w:val="en-GB"/>
        </w:rPr>
        <w:t>o</w:t>
      </w:r>
      <w:r w:rsidRPr="00980610">
        <w:t>т 27</w:t>
      </w:r>
      <w:r w:rsidRPr="00980610">
        <w:rPr>
          <w:lang w:val="en-GB"/>
        </w:rPr>
        <w:t> </w:t>
      </w:r>
      <w:r w:rsidRPr="00980610">
        <w:t>февраля 1998 года".</w:t>
      </w:r>
    </w:p>
    <w:p w:rsidR="00B314AC" w:rsidRPr="00980610" w:rsidRDefault="00B314AC" w:rsidP="00B314AC">
      <w:pPr>
        <w:pStyle w:val="SingleTxtGR"/>
      </w:pPr>
      <w:r w:rsidRPr="00980610">
        <w:t>Перенумеровать сноску к пункту 1.1.4.3 на сноску 2.</w:t>
      </w:r>
    </w:p>
    <w:p w:rsidR="00B314AC" w:rsidRPr="00980610" w:rsidRDefault="00B314AC" w:rsidP="00B314AC">
      <w:pPr>
        <w:pStyle w:val="SingleTxtGR"/>
      </w:pPr>
      <w:r w:rsidRPr="00980610">
        <w:t>1.1.3.6.3</w:t>
      </w:r>
      <w:r w:rsidRPr="00980610">
        <w:tab/>
        <w:t>В таблице изменить позицию для класса 9 в транспортной катег</w:t>
      </w:r>
      <w:r w:rsidRPr="00980610">
        <w:t>о</w:t>
      </w:r>
      <w:r w:rsidRPr="00980610">
        <w:t>рии 4 следующим образом:</w:t>
      </w:r>
    </w:p>
    <w:p w:rsidR="00B314AC" w:rsidRPr="00980610" w:rsidRDefault="00B314AC" w:rsidP="00B314AC">
      <w:pPr>
        <w:pStyle w:val="SingleTxtGR"/>
      </w:pPr>
      <w:r w:rsidRPr="00980610">
        <w:t>"Класс 9:</w:t>
      </w:r>
      <w:r w:rsidRPr="00980610">
        <w:tab/>
        <w:t>№ ООН 3268, 3499 и 3509".</w:t>
      </w:r>
    </w:p>
    <w:p w:rsidR="00B314AC" w:rsidRPr="00980610" w:rsidRDefault="00B314AC" w:rsidP="00B314AC">
      <w:pPr>
        <w:pStyle w:val="SingleTxtGR"/>
      </w:pPr>
      <w:r w:rsidRPr="00980610">
        <w:t>1.1.3.7</w:t>
      </w:r>
      <w:r w:rsidRPr="00980610">
        <w:tab/>
        <w:t>Изменить начало пункта перед подпунктом а) следующим образом:</w:t>
      </w:r>
    </w:p>
    <w:p w:rsidR="00B314AC" w:rsidRPr="00980610" w:rsidRDefault="00B314AC" w:rsidP="00B314AC">
      <w:pPr>
        <w:pStyle w:val="SingleTxtGR"/>
      </w:pPr>
      <w:r w:rsidRPr="00980610">
        <w:t>"1.1.3.7</w:t>
      </w:r>
      <w:r w:rsidRPr="00980610">
        <w:tab/>
      </w:r>
      <w:r w:rsidRPr="00980610">
        <w:rPr>
          <w:i/>
        </w:rPr>
        <w:t>Изъятия, связанные с перевозкой систем аккумулирования и прои</w:t>
      </w:r>
      <w:r w:rsidRPr="00980610">
        <w:rPr>
          <w:i/>
        </w:rPr>
        <w:t>з</w:t>
      </w:r>
      <w:r w:rsidRPr="00980610">
        <w:rPr>
          <w:i/>
        </w:rPr>
        <w:t>водства электроэнергии</w:t>
      </w:r>
    </w:p>
    <w:p w:rsidR="00B314AC" w:rsidRPr="00980610" w:rsidRDefault="00B314AC" w:rsidP="00B314AC">
      <w:pPr>
        <w:pStyle w:val="SingleTxtGR"/>
      </w:pPr>
      <w:r w:rsidRPr="00980610">
        <w:t>Положения ДОПОГ не применяются к системам аккумулирования и произво</w:t>
      </w:r>
      <w:r w:rsidRPr="00980610">
        <w:t>д</w:t>
      </w:r>
      <w:r w:rsidRPr="00980610">
        <w:t>ства электроэнергии (например, литиевым батареям, электрическим конденс</w:t>
      </w:r>
      <w:r w:rsidRPr="00980610">
        <w:t>а</w:t>
      </w:r>
      <w:r w:rsidRPr="00980610">
        <w:t>торам, асимметричным конденсаторам, системам хранения на основе метал</w:t>
      </w:r>
      <w:r w:rsidRPr="00980610">
        <w:t>л</w:t>
      </w:r>
      <w:r w:rsidRPr="00980610">
        <w:t>гидридов и топливным элементам):".</w:t>
      </w:r>
    </w:p>
    <w:p w:rsidR="00B314AC" w:rsidRPr="00980610" w:rsidRDefault="00B314AC" w:rsidP="00B314AC">
      <w:pPr>
        <w:pStyle w:val="SingleTxtGR"/>
      </w:pPr>
      <w:r w:rsidRPr="00980610">
        <w:t>1.1.3.7</w:t>
      </w:r>
      <w:r w:rsidRPr="00980610">
        <w:tab/>
        <w:t xml:space="preserve">В подпунктах </w:t>
      </w:r>
      <w:r w:rsidRPr="00980610">
        <w:rPr>
          <w:lang w:val="en-GB"/>
        </w:rPr>
        <w:t>a</w:t>
      </w:r>
      <w:r w:rsidRPr="00980610">
        <w:t xml:space="preserve">) и </w:t>
      </w:r>
      <w:r w:rsidRPr="00980610">
        <w:rPr>
          <w:lang w:val="en-GB"/>
        </w:rPr>
        <w:t>b</w:t>
      </w:r>
      <w:r w:rsidRPr="00980610">
        <w:t>) исключить "к литиевым батареям".</w:t>
      </w:r>
    </w:p>
    <w:p w:rsidR="00B314AC" w:rsidRPr="00980610" w:rsidRDefault="00B314AC" w:rsidP="00B314AC">
      <w:pPr>
        <w:pStyle w:val="HChGR"/>
      </w:pPr>
      <w:r w:rsidRPr="00980610">
        <w:tab/>
      </w:r>
      <w:r w:rsidRPr="00980610">
        <w:tab/>
        <w:t>Глава 1.2</w:t>
      </w:r>
    </w:p>
    <w:p w:rsidR="00B314AC" w:rsidRPr="00980610" w:rsidRDefault="00B314AC" w:rsidP="00C0778D">
      <w:pPr>
        <w:pStyle w:val="SingleTxtGR"/>
        <w:tabs>
          <w:tab w:val="clear" w:pos="1701"/>
          <w:tab w:val="left" w:pos="4522"/>
        </w:tabs>
      </w:pPr>
      <w:r w:rsidRPr="00980610">
        <w:t>1.2.1</w:t>
      </w:r>
      <w:r w:rsidRPr="00980610">
        <w:tab/>
        <w:t>После определения термина "Контейнер для массовых грузов" включить в алфавитном порядке определения терминов "</w:t>
      </w:r>
      <w:r w:rsidRPr="00980610">
        <w:rPr>
          <w:i/>
        </w:rPr>
        <w:t>Закрытый контейнер для массовых грузов</w:t>
      </w:r>
      <w:r w:rsidRPr="00980610">
        <w:t>" и "</w:t>
      </w:r>
      <w:r w:rsidRPr="00980610">
        <w:rPr>
          <w:i/>
        </w:rPr>
        <w:t>Крытый брезентом контейнер для массовых грузов</w:t>
      </w:r>
      <w:r w:rsidRPr="00980610">
        <w:t>", содерж</w:t>
      </w:r>
      <w:r w:rsidRPr="00980610">
        <w:t>а</w:t>
      </w:r>
      <w:r w:rsidRPr="00980610">
        <w:t xml:space="preserve">щиеся в разделе 6.11.1 </w:t>
      </w:r>
    </w:p>
    <w:p w:rsidR="00B314AC" w:rsidRPr="00980610" w:rsidRDefault="00B314AC" w:rsidP="00C0778D">
      <w:pPr>
        <w:pStyle w:val="SingleTxtGR"/>
        <w:tabs>
          <w:tab w:val="clear" w:pos="1701"/>
          <w:tab w:val="left" w:pos="4522"/>
        </w:tabs>
      </w:pPr>
      <w:r w:rsidRPr="00980610">
        <w:t>1.2.1</w:t>
      </w:r>
      <w:r w:rsidRPr="00980610">
        <w:tab/>
        <w:t>В определении термина "Цистерна" заменить "определения кот</w:t>
      </w:r>
      <w:r w:rsidRPr="00980610">
        <w:t>о</w:t>
      </w:r>
      <w:r w:rsidRPr="00980610">
        <w:t>рых приведены в этой части" на "определения которых приведены в этом разд</w:t>
      </w:r>
      <w:r w:rsidRPr="00980610">
        <w:t>е</w:t>
      </w:r>
      <w:r w:rsidRPr="00980610">
        <w:t>ле".</w:t>
      </w:r>
    </w:p>
    <w:p w:rsidR="00B314AC" w:rsidRPr="00980610" w:rsidRDefault="00B314AC" w:rsidP="00C0778D">
      <w:pPr>
        <w:pStyle w:val="SingleTxtGR"/>
        <w:tabs>
          <w:tab w:val="clear" w:pos="1701"/>
          <w:tab w:val="left" w:pos="4522"/>
        </w:tabs>
      </w:pPr>
      <w:r w:rsidRPr="00980610">
        <w:t>1.2.1</w:t>
      </w:r>
      <w:r w:rsidRPr="00980610">
        <w:tab/>
        <w:t>Включить в алфавитном порядке:</w:t>
      </w:r>
    </w:p>
    <w:p w:rsidR="00B314AC" w:rsidRPr="00980610" w:rsidRDefault="00B314AC" w:rsidP="00B314AC">
      <w:pPr>
        <w:pStyle w:val="SingleTxtGR"/>
      </w:pPr>
      <w:r w:rsidRPr="00980610">
        <w:lastRenderedPageBreak/>
        <w:t>«</w:t>
      </w:r>
      <w:r w:rsidRPr="00980610">
        <w:rPr>
          <w:i/>
        </w:rPr>
        <w:t>"Закрытый контейнер для массовых грузов"</w:t>
      </w:r>
      <w:r w:rsidRPr="00980610">
        <w:t xml:space="preserve">, см. </w:t>
      </w:r>
      <w:r w:rsidRPr="00980610">
        <w:rPr>
          <w:i/>
        </w:rPr>
        <w:t>"Контейнер для массовых грузов"</w:t>
      </w:r>
      <w:r w:rsidRPr="00980610">
        <w:t>;</w:t>
      </w:r>
    </w:p>
    <w:p w:rsidR="00B314AC" w:rsidRPr="00980610" w:rsidRDefault="00B314AC" w:rsidP="00B314AC">
      <w:pPr>
        <w:pStyle w:val="SingleTxtGR"/>
      </w:pPr>
      <w:r w:rsidRPr="00980610">
        <w:rPr>
          <w:i/>
        </w:rPr>
        <w:t>"Крытый брезентом контейнер для массовых грузов"</w:t>
      </w:r>
      <w:r w:rsidRPr="00980610">
        <w:t xml:space="preserve">, см. </w:t>
      </w:r>
      <w:r w:rsidRPr="00980610">
        <w:rPr>
          <w:i/>
        </w:rPr>
        <w:t>"Контейнер для ма</w:t>
      </w:r>
      <w:r w:rsidRPr="00980610">
        <w:rPr>
          <w:i/>
        </w:rPr>
        <w:t>с</w:t>
      </w:r>
      <w:r w:rsidRPr="00980610">
        <w:rPr>
          <w:i/>
        </w:rPr>
        <w:t>совых грузов"</w:t>
      </w:r>
      <w:r w:rsidRPr="00980610">
        <w:t>».</w:t>
      </w:r>
    </w:p>
    <w:p w:rsidR="00B314AC" w:rsidRPr="00980610" w:rsidRDefault="00B314AC" w:rsidP="00C0778D">
      <w:pPr>
        <w:pStyle w:val="SingleTxtGR"/>
        <w:tabs>
          <w:tab w:val="clear" w:pos="1701"/>
          <w:tab w:val="left" w:pos="4522"/>
        </w:tabs>
      </w:pPr>
      <w:r w:rsidRPr="00980610">
        <w:t>1.2.1</w:t>
      </w:r>
      <w:r w:rsidRPr="00980610">
        <w:tab/>
        <w:t>Данная поправка не касается текста на русском языке.</w:t>
      </w:r>
    </w:p>
    <w:p w:rsidR="00B314AC" w:rsidRPr="00980610" w:rsidRDefault="00B314AC" w:rsidP="00B314AC">
      <w:pPr>
        <w:pStyle w:val="SingleTxtGR"/>
      </w:pPr>
      <w:r w:rsidRPr="00980610">
        <w:t>Данная поправка не касается текста на русском языке.</w:t>
      </w:r>
    </w:p>
    <w:p w:rsidR="00B314AC" w:rsidRPr="00980610" w:rsidRDefault="00B314AC" w:rsidP="00B314AC">
      <w:pPr>
        <w:pStyle w:val="HChGR"/>
      </w:pPr>
      <w:r w:rsidRPr="00980610">
        <w:tab/>
      </w:r>
      <w:r w:rsidRPr="00980610">
        <w:tab/>
        <w:t>Глава 1.4</w:t>
      </w:r>
    </w:p>
    <w:p w:rsidR="00B314AC" w:rsidRPr="00980610" w:rsidRDefault="00B314AC" w:rsidP="00B314AC">
      <w:pPr>
        <w:pStyle w:val="SingleTxtGR"/>
      </w:pPr>
      <w:r w:rsidRPr="00980610">
        <w:rPr>
          <w:bCs/>
        </w:rPr>
        <w:t>1.4.2.2.1</w:t>
      </w:r>
      <w:r w:rsidRPr="00980610">
        <w:t xml:space="preserve"> </w:t>
      </w:r>
      <w:r w:rsidRPr="00980610">
        <w:rPr>
          <w:lang w:val="en-GB"/>
        </w:rPr>
        <w:t>f</w:t>
      </w:r>
      <w:r w:rsidRPr="00980610">
        <w:t>)</w:t>
      </w:r>
      <w:r w:rsidRPr="00980610">
        <w:tab/>
        <w:t>Заменить "знаки опасности" на "информационные табло".</w:t>
      </w:r>
    </w:p>
    <w:p w:rsidR="00B314AC" w:rsidRPr="00980610" w:rsidRDefault="00B314AC" w:rsidP="00B314AC">
      <w:pPr>
        <w:pStyle w:val="HChGR"/>
      </w:pPr>
      <w:r w:rsidRPr="00980610">
        <w:tab/>
      </w:r>
      <w:r w:rsidRPr="00980610">
        <w:tab/>
        <w:t>Глава 1.6</w:t>
      </w:r>
    </w:p>
    <w:p w:rsidR="00B314AC" w:rsidRPr="00980610" w:rsidRDefault="00B314AC" w:rsidP="00B314AC">
      <w:pPr>
        <w:pStyle w:val="SingleTxtGR"/>
      </w:pPr>
      <w:r w:rsidRPr="00980610">
        <w:t>1.6.2</w:t>
      </w:r>
      <w:r w:rsidRPr="00980610">
        <w:tab/>
      </w:r>
      <w:r w:rsidRPr="00980610">
        <w:tab/>
        <w:t>Включить новую переходную меру следующего содержания:</w:t>
      </w:r>
    </w:p>
    <w:p w:rsidR="00B314AC" w:rsidRPr="00980610" w:rsidRDefault="00B314AC" w:rsidP="00B314AC">
      <w:pPr>
        <w:pStyle w:val="SingleTxtGR"/>
      </w:pPr>
      <w:r w:rsidRPr="00980610">
        <w:t>"1.6.2.15</w:t>
      </w:r>
      <w:r w:rsidRPr="00980610">
        <w:tab/>
        <w:t>Связки баллонов, прошедшие периодическую проверку до 1 июля 2015 года и не имеющие маркировку в соответствии с пунктом 6.2.3.9.7.3, пр</w:t>
      </w:r>
      <w:r w:rsidRPr="00980610">
        <w:t>и</w:t>
      </w:r>
      <w:r w:rsidRPr="00980610">
        <w:t>меняемым с 1 января 2015 года, могут использоваться до следующей период</w:t>
      </w:r>
      <w:r w:rsidRPr="00980610">
        <w:t>и</w:t>
      </w:r>
      <w:r w:rsidRPr="00980610">
        <w:t>ческой проверки после 1 июля 2015 года".</w:t>
      </w:r>
    </w:p>
    <w:p w:rsidR="00B314AC" w:rsidRPr="00980610" w:rsidRDefault="00B314AC" w:rsidP="00B314AC">
      <w:pPr>
        <w:pStyle w:val="SingleTxtGR"/>
      </w:pPr>
      <w:r w:rsidRPr="00980610">
        <w:t>1.6.4.31</w:t>
      </w:r>
      <w:r w:rsidRPr="00980610">
        <w:tab/>
        <w:t>Исключить данную переходную меру и включить:</w:t>
      </w:r>
    </w:p>
    <w:p w:rsidR="00B314AC" w:rsidRPr="00980610" w:rsidRDefault="00B314AC" w:rsidP="00B314AC">
      <w:pPr>
        <w:pStyle w:val="SingleTxtGR"/>
      </w:pPr>
      <w:r w:rsidRPr="00980610">
        <w:t>"1.6.4.31</w:t>
      </w:r>
      <w:r w:rsidRPr="00980610">
        <w:tab/>
      </w:r>
      <w:r w:rsidRPr="00980610">
        <w:rPr>
          <w:i/>
        </w:rPr>
        <w:t>(Исключен)</w:t>
      </w:r>
      <w:r w:rsidRPr="00980610">
        <w:t>".</w:t>
      </w:r>
    </w:p>
    <w:p w:rsidR="00B314AC" w:rsidRPr="00980610" w:rsidRDefault="00B314AC" w:rsidP="00B314AC">
      <w:pPr>
        <w:pStyle w:val="SingleTxtGR"/>
      </w:pPr>
      <w:r w:rsidRPr="00980610">
        <w:rPr>
          <w:bCs/>
        </w:rPr>
        <w:t>1.6.4.37</w:t>
      </w:r>
      <w:r w:rsidRPr="00980610">
        <w:rPr>
          <w:bCs/>
        </w:rPr>
        <w:tab/>
      </w:r>
      <w:r w:rsidRPr="00980610">
        <w:t>Поправка к тексту на французском языке не относится к тексту на русском языке</w:t>
      </w:r>
      <w:r w:rsidRPr="00980610">
        <w:rPr>
          <w:bCs/>
        </w:rPr>
        <w:t>.</w:t>
      </w:r>
    </w:p>
    <w:p w:rsidR="00B314AC" w:rsidRPr="00980610" w:rsidRDefault="00B314AC" w:rsidP="00B314AC">
      <w:pPr>
        <w:pStyle w:val="SingleTxtGR"/>
      </w:pPr>
      <w:r w:rsidRPr="00980610">
        <w:t>1.6.5.10</w:t>
      </w:r>
      <w:r w:rsidRPr="00980610">
        <w:tab/>
        <w:t>В конце добавить: "Свидетельства о допущении, соответствующие образцу, приведенному в подразделе 9.1.3.5, применяемом с 1 января 2009 года до 31 декабря 2014 года, могут по-прежнему использоваться".</w:t>
      </w:r>
    </w:p>
    <w:p w:rsidR="00B314AC" w:rsidRPr="00980610" w:rsidRDefault="00B314AC" w:rsidP="00B314AC">
      <w:pPr>
        <w:pStyle w:val="SingleTxtGR"/>
      </w:pPr>
      <w:r w:rsidRPr="00980610">
        <w:t>1.6.5</w:t>
      </w:r>
      <w:r w:rsidRPr="00980610">
        <w:tab/>
      </w:r>
      <w:r w:rsidRPr="00980610">
        <w:tab/>
        <w:t>Включить новую переходную меру следующего содержания:</w:t>
      </w:r>
    </w:p>
    <w:p w:rsidR="00B314AC" w:rsidRPr="00980610" w:rsidRDefault="00B314AC" w:rsidP="00B314AC">
      <w:pPr>
        <w:pStyle w:val="SingleTxtGR"/>
      </w:pPr>
      <w:r w:rsidRPr="00980610">
        <w:t>"1.6.5.15</w:t>
      </w:r>
      <w:r w:rsidRPr="00980610">
        <w:tab/>
        <w:t>Что касается применения положений части 9, транспортные сре</w:t>
      </w:r>
      <w:r w:rsidRPr="00980610">
        <w:t>д</w:t>
      </w:r>
      <w:r w:rsidRPr="00980610">
        <w:t>ства, впервые зарегистрированные или введенные в эксплуатацию до 1</w:t>
      </w:r>
      <w:r w:rsidRPr="00980610">
        <w:rPr>
          <w:lang w:val="en-US"/>
        </w:rPr>
        <w:t> </w:t>
      </w:r>
      <w:r w:rsidRPr="00980610">
        <w:t>ноября 2014</w:t>
      </w:r>
      <w:r w:rsidRPr="00980610">
        <w:rPr>
          <w:lang w:val="en-US"/>
        </w:rPr>
        <w:t> </w:t>
      </w:r>
      <w:r w:rsidRPr="00980610">
        <w:t>года и официально утвержденные по типу конструкции в соответствии с положениями директив, отмененных Регламентом (ЕС) № 661/2009</w:t>
      </w:r>
      <w:r w:rsidRPr="00980610">
        <w:rPr>
          <w:vertAlign w:val="superscript"/>
        </w:rPr>
        <w:t>3</w:t>
      </w:r>
      <w:r w:rsidRPr="00980610">
        <w:t>, могут по-прежнему эксплуатироваться".</w:t>
      </w:r>
    </w:p>
    <w:p w:rsidR="00B314AC" w:rsidRPr="00980610" w:rsidRDefault="00B314AC" w:rsidP="00B314AC">
      <w:pPr>
        <w:pStyle w:val="SingleTxtGR"/>
      </w:pPr>
      <w:r w:rsidRPr="00980610">
        <w:t>Текст сноски 3 читать следующим образом:</w:t>
      </w:r>
    </w:p>
    <w:p w:rsidR="00B314AC" w:rsidRPr="00980610" w:rsidRDefault="00B314AC" w:rsidP="00B314AC">
      <w:pPr>
        <w:pStyle w:val="SingleTxtGR"/>
      </w:pPr>
      <w:r w:rsidRPr="00980610">
        <w:t>"</w:t>
      </w:r>
      <w:r w:rsidRPr="00980610">
        <w:rPr>
          <w:vertAlign w:val="superscript"/>
        </w:rPr>
        <w:t>3</w:t>
      </w:r>
      <w:r w:rsidR="00C0778D">
        <w:rPr>
          <w:vertAlign w:val="superscript"/>
        </w:rPr>
        <w:tab/>
      </w:r>
      <w:r w:rsidRPr="00980610">
        <w:t>Регламент (ЕС) № 661/2009 Европейского парламента и Совета от 13 и</w:t>
      </w:r>
      <w:r w:rsidRPr="00980610">
        <w:t>ю</w:t>
      </w:r>
      <w:r w:rsidRPr="00980610">
        <w:t>ля 2009 года, касающийся требований к официальному утверждению типа транспортных средств, их прицепов и систем, компонентов и отдельных пре</w:t>
      </w:r>
      <w:r w:rsidRPr="00980610">
        <w:t>д</w:t>
      </w:r>
      <w:r w:rsidRPr="00980610">
        <w:t>назначенных для них технических блоков в отношении общей безопасности (</w:t>
      </w:r>
      <w:r w:rsidRPr="00980610">
        <w:rPr>
          <w:lang w:val="en-GB"/>
        </w:rPr>
        <w:t>Official</w:t>
      </w:r>
      <w:r w:rsidRPr="00980610">
        <w:t xml:space="preserve"> </w:t>
      </w:r>
      <w:r w:rsidRPr="00980610">
        <w:rPr>
          <w:lang w:val="en-GB"/>
        </w:rPr>
        <w:t>Journal</w:t>
      </w:r>
      <w:r w:rsidRPr="00980610">
        <w:t xml:space="preserve"> </w:t>
      </w:r>
      <w:r w:rsidRPr="00980610">
        <w:rPr>
          <w:lang w:val="en-GB"/>
        </w:rPr>
        <w:t>L</w:t>
      </w:r>
      <w:r w:rsidRPr="00980610">
        <w:t xml:space="preserve"> 200 </w:t>
      </w:r>
      <w:r w:rsidRPr="00980610">
        <w:rPr>
          <w:lang w:val="en-GB"/>
        </w:rPr>
        <w:t>of</w:t>
      </w:r>
      <w:r w:rsidRPr="00980610">
        <w:t xml:space="preserve"> 31.7.2009, </w:t>
      </w:r>
      <w:r w:rsidRPr="00980610">
        <w:rPr>
          <w:lang w:val="en-GB"/>
        </w:rPr>
        <w:t>p</w:t>
      </w:r>
      <w:r w:rsidRPr="00980610">
        <w:t>. 1)".</w:t>
      </w:r>
    </w:p>
    <w:p w:rsidR="00B314AC" w:rsidRPr="00980610" w:rsidRDefault="00B314AC" w:rsidP="00B314AC">
      <w:pPr>
        <w:pStyle w:val="HChGR"/>
      </w:pPr>
      <w:r w:rsidRPr="00980610">
        <w:tab/>
      </w:r>
      <w:r w:rsidRPr="00980610">
        <w:tab/>
        <w:t>Глава 1.8</w:t>
      </w:r>
    </w:p>
    <w:p w:rsidR="00B314AC" w:rsidRPr="00980610" w:rsidRDefault="00B314AC" w:rsidP="00B314AC">
      <w:pPr>
        <w:pStyle w:val="SingleTxtGR"/>
      </w:pPr>
      <w:r w:rsidRPr="00980610">
        <w:rPr>
          <w:bCs/>
        </w:rPr>
        <w:t>1.8.3.9</w:t>
      </w:r>
      <w:r w:rsidRPr="00980610">
        <w:tab/>
        <w:t>Заменить "законодательстве, правилах и административных пол</w:t>
      </w:r>
      <w:r w:rsidRPr="00980610">
        <w:t>о</w:t>
      </w:r>
      <w:r w:rsidRPr="00980610">
        <w:t>жениях, применимых к соответствующим видам транспорта" на "применимых законодательстве, правилах и административных положениях".</w:t>
      </w:r>
    </w:p>
    <w:p w:rsidR="00B314AC" w:rsidRPr="00980610" w:rsidRDefault="00B314AC" w:rsidP="00B314AC">
      <w:pPr>
        <w:pStyle w:val="SingleTxtGR"/>
      </w:pPr>
      <w:r w:rsidRPr="00980610">
        <w:t>1.8.3.13</w:t>
      </w:r>
      <w:r w:rsidRPr="00980610">
        <w:tab/>
        <w:t>Исключить последнее предложение.</w:t>
      </w:r>
    </w:p>
    <w:p w:rsidR="00B314AC" w:rsidRPr="00980610" w:rsidRDefault="00B314AC" w:rsidP="00B314AC">
      <w:pPr>
        <w:pStyle w:val="SingleTxtGR"/>
      </w:pPr>
      <w:r w:rsidRPr="00980610">
        <w:lastRenderedPageBreak/>
        <w:t>1.8.6.4.1</w:t>
      </w:r>
      <w:r w:rsidRPr="00980610">
        <w:tab/>
        <w:t>После первого предложения включить следующий текст: "В случае отдельной аккредитации этот субъект должен быть надлежащим образом аккр</w:t>
      </w:r>
      <w:r w:rsidRPr="00980610">
        <w:t>е</w:t>
      </w:r>
      <w:r w:rsidRPr="00980610">
        <w:t xml:space="preserve">дитован в соответствии со стандартом </w:t>
      </w:r>
      <w:r w:rsidRPr="00980610">
        <w:rPr>
          <w:lang w:val="en-GB"/>
        </w:rPr>
        <w:t>EN</w:t>
      </w:r>
      <w:r w:rsidRPr="00980610">
        <w:t xml:space="preserve"> </w:t>
      </w:r>
      <w:r w:rsidRPr="00980610">
        <w:rPr>
          <w:lang w:val="en-GB"/>
        </w:rPr>
        <w:t>ISO</w:t>
      </w:r>
      <w:r w:rsidRPr="00980610">
        <w:t>/</w:t>
      </w:r>
      <w:r w:rsidRPr="00980610">
        <w:rPr>
          <w:lang w:val="en-GB"/>
        </w:rPr>
        <w:t>IEC</w:t>
      </w:r>
      <w:r w:rsidRPr="00980610">
        <w:t xml:space="preserve"> 17025:2005 и признан пр</w:t>
      </w:r>
      <w:r w:rsidRPr="00980610">
        <w:t>о</w:t>
      </w:r>
      <w:r w:rsidRPr="00980610">
        <w:t>веряющим органом в качестве независимой и беспристрастной испытательной лаборатории для осуществления функций по проведению испытаний в соотве</w:t>
      </w:r>
      <w:r w:rsidRPr="00980610">
        <w:t>т</w:t>
      </w:r>
      <w:r w:rsidRPr="00980610">
        <w:t xml:space="preserve">ствии с его аккредитацией, или он должен быть аккредитован в соответствии со стандартом </w:t>
      </w:r>
      <w:r w:rsidRPr="00980610">
        <w:rPr>
          <w:lang w:val="en-GB"/>
        </w:rPr>
        <w:t>EN</w:t>
      </w:r>
      <w:r w:rsidRPr="00980610">
        <w:t xml:space="preserve"> </w:t>
      </w:r>
      <w:r w:rsidRPr="00980610">
        <w:rPr>
          <w:lang w:val="en-GB"/>
        </w:rPr>
        <w:t>ISO</w:t>
      </w:r>
      <w:r w:rsidRPr="00980610">
        <w:t>/</w:t>
      </w:r>
      <w:r w:rsidRPr="00980610">
        <w:rPr>
          <w:lang w:val="en-GB"/>
        </w:rPr>
        <w:t>IEC</w:t>
      </w:r>
      <w:r w:rsidRPr="00980610">
        <w:t xml:space="preserve"> 17020:2012 (за исключением пункта 8.1.3)".</w:t>
      </w:r>
    </w:p>
    <w:p w:rsidR="00B314AC" w:rsidRPr="00980610" w:rsidRDefault="00B314AC" w:rsidP="00B314AC">
      <w:pPr>
        <w:pStyle w:val="HChGR"/>
      </w:pPr>
      <w:r w:rsidRPr="00980610">
        <w:tab/>
      </w:r>
      <w:r w:rsidRPr="00980610">
        <w:tab/>
        <w:t>Глава 1.9</w:t>
      </w:r>
    </w:p>
    <w:p w:rsidR="00B314AC" w:rsidRPr="00980610" w:rsidRDefault="00B314AC" w:rsidP="00B314AC">
      <w:pPr>
        <w:pStyle w:val="SingleTxtGR"/>
      </w:pPr>
      <w:r w:rsidRPr="00980610">
        <w:t>1.9.5.2.2</w:t>
      </w:r>
      <w:r w:rsidRPr="00980610">
        <w:tab/>
        <w:t xml:space="preserve">В разделе "Категория туннелей </w:t>
      </w:r>
      <w:r w:rsidRPr="00980610">
        <w:rPr>
          <w:lang w:val="en-GB"/>
        </w:rPr>
        <w:t>D</w:t>
      </w:r>
      <w:r w:rsidRPr="00980610">
        <w:t>", в первой графе таблицы, в стр</w:t>
      </w:r>
      <w:r w:rsidRPr="00980610">
        <w:t>о</w:t>
      </w:r>
      <w:r w:rsidRPr="00980610">
        <w:t>ке для класса 8, после "СОТ" добавить "и № ООН 3507".</w:t>
      </w:r>
    </w:p>
    <w:p w:rsidR="00B314AC" w:rsidRPr="00980610" w:rsidRDefault="00B314AC" w:rsidP="00B314AC">
      <w:pPr>
        <w:pStyle w:val="HChGR"/>
      </w:pPr>
      <w:r w:rsidRPr="00980610">
        <w:tab/>
      </w:r>
      <w:r w:rsidRPr="00980610">
        <w:tab/>
        <w:t>Глава 2.2</w:t>
      </w:r>
    </w:p>
    <w:p w:rsidR="00B314AC" w:rsidRPr="00980610" w:rsidRDefault="00B314AC" w:rsidP="00B314AC">
      <w:pPr>
        <w:pStyle w:val="SingleTxtGR"/>
      </w:pPr>
      <w:r w:rsidRPr="00980610">
        <w:rPr>
          <w:bCs/>
        </w:rPr>
        <w:t>2.2.3.1.1</w:t>
      </w:r>
      <w:r w:rsidRPr="00980610">
        <w:tab/>
        <w:t>Данная поправка не касается текста на русском языке.</w:t>
      </w:r>
    </w:p>
    <w:p w:rsidR="00B314AC" w:rsidRPr="00980610" w:rsidRDefault="00B314AC" w:rsidP="00B314AC">
      <w:pPr>
        <w:pStyle w:val="SingleTxtGR"/>
      </w:pPr>
      <w:r w:rsidRPr="00980610">
        <w:t>2.2.3.1.4</w:t>
      </w:r>
      <w:r w:rsidRPr="00980610">
        <w:tab/>
        <w:t>Изменить следующим образом:</w:t>
      </w:r>
    </w:p>
    <w:p w:rsidR="00B314AC" w:rsidRPr="00980610" w:rsidRDefault="00B314AC" w:rsidP="00B314AC">
      <w:pPr>
        <w:pStyle w:val="SingleTxtGR"/>
      </w:pPr>
      <w:r w:rsidRPr="00980610">
        <w:t>"2.2.3.1.4</w:t>
      </w:r>
      <w:r w:rsidRPr="00980610">
        <w:tab/>
        <w:t>Вязким легковоспламеняющимся жидкостям, таким как краски, эмали, лаки, олифа, клеи и политура, с температурой вспышки ниже 23 °С м</w:t>
      </w:r>
      <w:r w:rsidRPr="00980610">
        <w:t>о</w:t>
      </w:r>
      <w:r w:rsidRPr="00980610">
        <w:t xml:space="preserve">жет быть назначена группа упаковки </w:t>
      </w:r>
      <w:r w:rsidRPr="00980610">
        <w:rPr>
          <w:lang w:val="en-GB"/>
        </w:rPr>
        <w:t>III</w:t>
      </w:r>
      <w:r w:rsidRPr="00980610">
        <w:t xml:space="preserve"> в соответствии с процедурами, предп</w:t>
      </w:r>
      <w:r w:rsidRPr="00980610">
        <w:t>и</w:t>
      </w:r>
      <w:r w:rsidRPr="00980610">
        <w:t xml:space="preserve">санными в Руководстве по испытаниям и критериям, часть </w:t>
      </w:r>
      <w:r w:rsidRPr="00980610">
        <w:rPr>
          <w:lang w:val="en-GB"/>
        </w:rPr>
        <w:t>III</w:t>
      </w:r>
      <w:r w:rsidRPr="00980610">
        <w:t>, подраздел 32.3, при условии, что:</w:t>
      </w:r>
    </w:p>
    <w:p w:rsidR="00B314AC" w:rsidRPr="00980610" w:rsidRDefault="00B314AC" w:rsidP="00B314AC">
      <w:pPr>
        <w:pStyle w:val="SingleTxtGR"/>
      </w:pPr>
      <w:r w:rsidRPr="00980610">
        <w:rPr>
          <w:lang w:val="en-GB"/>
        </w:rPr>
        <w:t>a</w:t>
      </w:r>
      <w:r w:rsidRPr="00980610">
        <w:t>)</w:t>
      </w:r>
      <w:r w:rsidRPr="00980610">
        <w:tab/>
        <w:t>вязкость</w:t>
      </w:r>
      <w:r w:rsidRPr="00980610">
        <w:rPr>
          <w:vertAlign w:val="superscript"/>
        </w:rPr>
        <w:t>2</w:t>
      </w:r>
      <w:r w:rsidRPr="00980610">
        <w:t xml:space="preserve"> и температура вспышки соответствуют значениям, указанным в нижеследующей таблице: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50"/>
        <w:gridCol w:w="1596"/>
        <w:gridCol w:w="1525"/>
        <w:gridCol w:w="1799"/>
      </w:tblGrid>
      <w:tr w:rsidR="009E41F9" w:rsidRPr="00355627" w:rsidTr="00355627"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41F9" w:rsidRPr="00355627" w:rsidRDefault="009E41F9" w:rsidP="0035562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55627">
              <w:rPr>
                <w:i/>
                <w:sz w:val="16"/>
              </w:rPr>
              <w:t>Кинематическая вязкость v (экстраполированная) (при скорости сдвига, близкой к нулевой), мм</w:t>
            </w:r>
            <w:r w:rsidRPr="00355627">
              <w:rPr>
                <w:i/>
                <w:sz w:val="16"/>
                <w:vertAlign w:val="superscript"/>
              </w:rPr>
              <w:t>2</w:t>
            </w:r>
            <w:r w:rsidRPr="00355627">
              <w:rPr>
                <w:i/>
                <w:sz w:val="16"/>
              </w:rPr>
              <w:t>/с при 23 °C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41F9" w:rsidRPr="00355627" w:rsidRDefault="009E41F9" w:rsidP="0035562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55627">
              <w:rPr>
                <w:i/>
                <w:sz w:val="16"/>
              </w:rPr>
              <w:t xml:space="preserve">Время истечения </w:t>
            </w:r>
            <w:r w:rsidR="00C0778D" w:rsidRPr="00355627">
              <w:rPr>
                <w:i/>
                <w:sz w:val="16"/>
              </w:rPr>
              <w:br/>
            </w:r>
            <w:r w:rsidRPr="00355627">
              <w:rPr>
                <w:i/>
                <w:sz w:val="16"/>
              </w:rPr>
              <w:t>t</w:t>
            </w:r>
            <w:r w:rsidR="00C0778D" w:rsidRPr="00355627">
              <w:rPr>
                <w:i/>
                <w:sz w:val="16"/>
              </w:rPr>
              <w:t xml:space="preserve"> </w:t>
            </w:r>
            <w:r w:rsidRPr="00355627">
              <w:rPr>
                <w:i/>
                <w:sz w:val="16"/>
              </w:rPr>
              <w:t>в секундах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41F9" w:rsidRPr="00355627" w:rsidRDefault="009E41F9" w:rsidP="0035562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55627">
              <w:rPr>
                <w:i/>
                <w:sz w:val="16"/>
              </w:rPr>
              <w:t>Диаметр отверстия (мм)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E41F9" w:rsidRPr="00355627" w:rsidRDefault="009E41F9" w:rsidP="0035562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55627">
              <w:rPr>
                <w:i/>
                <w:sz w:val="16"/>
              </w:rPr>
              <w:t>Температура вспы</w:t>
            </w:r>
            <w:r w:rsidRPr="00355627">
              <w:rPr>
                <w:i/>
                <w:sz w:val="16"/>
              </w:rPr>
              <w:t>ш</w:t>
            </w:r>
            <w:r w:rsidRPr="00355627">
              <w:rPr>
                <w:i/>
                <w:sz w:val="16"/>
              </w:rPr>
              <w:t>ки в закрытом сос</w:t>
            </w:r>
            <w:r w:rsidRPr="00355627">
              <w:rPr>
                <w:i/>
                <w:sz w:val="16"/>
              </w:rPr>
              <w:t>у</w:t>
            </w:r>
            <w:r w:rsidRPr="00355627">
              <w:rPr>
                <w:i/>
                <w:sz w:val="16"/>
              </w:rPr>
              <w:t>де (°C)</w:t>
            </w:r>
          </w:p>
        </w:tc>
      </w:tr>
      <w:tr w:rsidR="009E41F9" w:rsidRPr="004C75A7" w:rsidTr="00355627">
        <w:tc>
          <w:tcPr>
            <w:tcW w:w="2450" w:type="dxa"/>
            <w:tcBorders>
              <w:top w:val="single" w:sz="12" w:space="0" w:color="auto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20 &lt; </w:t>
            </w:r>
            <w:r w:rsidRPr="00355627">
              <w:sym w:font="Symbol" w:char="F06E"/>
            </w:r>
            <w:r w:rsidRPr="004C75A7">
              <w:t xml:space="preserve"> </w:t>
            </w:r>
            <w:r w:rsidRPr="00355627">
              <w:sym w:font="Symbol" w:char="F0A3"/>
            </w:r>
            <w:r w:rsidRPr="004C75A7">
              <w:t xml:space="preserve"> 80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20 &lt; t </w:t>
            </w:r>
            <w:r w:rsidRPr="00355627">
              <w:sym w:font="Symbol" w:char="F0A3"/>
            </w:r>
            <w:r w:rsidRPr="004C75A7">
              <w:t xml:space="preserve"> 60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>4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>выше 17</w:t>
            </w:r>
          </w:p>
        </w:tc>
      </w:tr>
      <w:tr w:rsidR="009E41F9" w:rsidRPr="004C75A7" w:rsidTr="00355627">
        <w:tc>
          <w:tcPr>
            <w:tcW w:w="2450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80 &lt; </w:t>
            </w:r>
            <w:r w:rsidRPr="00355627">
              <w:sym w:font="Symbol" w:char="F06E"/>
            </w:r>
            <w:r w:rsidRPr="004C75A7">
              <w:t xml:space="preserve"> </w:t>
            </w:r>
            <w:r w:rsidRPr="00355627">
              <w:sym w:font="Symbol" w:char="F0A3"/>
            </w:r>
            <w:r w:rsidRPr="004C75A7">
              <w:t xml:space="preserve"> 135</w:t>
            </w:r>
          </w:p>
        </w:tc>
        <w:tc>
          <w:tcPr>
            <w:tcW w:w="1596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60 &lt; t </w:t>
            </w:r>
            <w:r w:rsidRPr="00355627">
              <w:sym w:font="Symbol" w:char="F0A3"/>
            </w:r>
            <w:r w:rsidRPr="004C75A7">
              <w:t xml:space="preserve"> 100</w:t>
            </w:r>
          </w:p>
        </w:tc>
        <w:tc>
          <w:tcPr>
            <w:tcW w:w="1525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>4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>выше 10</w:t>
            </w:r>
          </w:p>
        </w:tc>
      </w:tr>
      <w:tr w:rsidR="009E41F9" w:rsidRPr="004C75A7" w:rsidTr="00355627">
        <w:tc>
          <w:tcPr>
            <w:tcW w:w="2450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135 &lt; </w:t>
            </w:r>
            <w:r w:rsidRPr="00355627">
              <w:sym w:font="Symbol" w:char="F06E"/>
            </w:r>
            <w:r w:rsidRPr="004C75A7">
              <w:t xml:space="preserve"> </w:t>
            </w:r>
            <w:r w:rsidRPr="00355627">
              <w:sym w:font="Symbol" w:char="F0A3"/>
            </w:r>
            <w:r w:rsidRPr="004C75A7">
              <w:t xml:space="preserve"> 220</w:t>
            </w:r>
          </w:p>
        </w:tc>
        <w:tc>
          <w:tcPr>
            <w:tcW w:w="1596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20 &lt; t </w:t>
            </w:r>
            <w:r w:rsidRPr="00355627">
              <w:sym w:font="Symbol" w:char="F0A3"/>
            </w:r>
            <w:r w:rsidRPr="004C75A7">
              <w:t xml:space="preserve"> 32</w:t>
            </w:r>
          </w:p>
        </w:tc>
        <w:tc>
          <w:tcPr>
            <w:tcW w:w="1525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>6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>выше 5</w:t>
            </w:r>
          </w:p>
        </w:tc>
      </w:tr>
      <w:tr w:rsidR="009E41F9" w:rsidRPr="004C75A7" w:rsidTr="00355627">
        <w:tc>
          <w:tcPr>
            <w:tcW w:w="2450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220 &lt; </w:t>
            </w:r>
            <w:r w:rsidRPr="00355627">
              <w:sym w:font="Symbol" w:char="F06E"/>
            </w:r>
            <w:r w:rsidRPr="004C75A7">
              <w:t xml:space="preserve"> </w:t>
            </w:r>
            <w:r w:rsidRPr="00355627">
              <w:sym w:font="Symbol" w:char="F0A3"/>
            </w:r>
            <w:r w:rsidRPr="004C75A7">
              <w:t xml:space="preserve"> 300</w:t>
            </w:r>
          </w:p>
        </w:tc>
        <w:tc>
          <w:tcPr>
            <w:tcW w:w="1596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32 &lt; t </w:t>
            </w:r>
            <w:r w:rsidRPr="00355627">
              <w:sym w:font="Symbol" w:char="F0A3"/>
            </w:r>
            <w:r w:rsidRPr="004C75A7">
              <w:t xml:space="preserve"> 44</w:t>
            </w:r>
          </w:p>
        </w:tc>
        <w:tc>
          <w:tcPr>
            <w:tcW w:w="1525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>6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выше </w:t>
            </w:r>
            <w:r w:rsidR="009E485E">
              <w:t>−</w:t>
            </w:r>
            <w:r w:rsidRPr="004C75A7">
              <w:t>1</w:t>
            </w:r>
          </w:p>
        </w:tc>
      </w:tr>
      <w:tr w:rsidR="009E41F9" w:rsidRPr="004C75A7" w:rsidTr="00355627">
        <w:tc>
          <w:tcPr>
            <w:tcW w:w="2450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300 &lt; </w:t>
            </w:r>
            <w:r w:rsidRPr="00355627">
              <w:sym w:font="Symbol" w:char="F06E"/>
            </w:r>
            <w:r w:rsidRPr="004C75A7">
              <w:t xml:space="preserve"> </w:t>
            </w:r>
            <w:r w:rsidRPr="00355627">
              <w:sym w:font="Symbol" w:char="F0A3"/>
            </w:r>
            <w:r w:rsidRPr="004C75A7">
              <w:t xml:space="preserve"> 700</w:t>
            </w:r>
          </w:p>
        </w:tc>
        <w:tc>
          <w:tcPr>
            <w:tcW w:w="1596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44 &lt; t </w:t>
            </w:r>
            <w:r w:rsidRPr="00355627">
              <w:sym w:font="Symbol" w:char="F0A3"/>
            </w:r>
            <w:r w:rsidRPr="004C75A7">
              <w:t xml:space="preserve"> 100</w:t>
            </w:r>
          </w:p>
        </w:tc>
        <w:tc>
          <w:tcPr>
            <w:tcW w:w="1525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>6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выше </w:t>
            </w:r>
            <w:r w:rsidR="009E485E">
              <w:t>−</w:t>
            </w:r>
            <w:r w:rsidRPr="004C75A7">
              <w:t>5</w:t>
            </w:r>
          </w:p>
        </w:tc>
      </w:tr>
      <w:tr w:rsidR="009E41F9" w:rsidRPr="004C75A7" w:rsidTr="00355627">
        <w:tc>
          <w:tcPr>
            <w:tcW w:w="2450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 xml:space="preserve">700 &lt; </w:t>
            </w:r>
            <w:r w:rsidRPr="00355627">
              <w:sym w:font="Symbol" w:char="F06E"/>
            </w:r>
          </w:p>
        </w:tc>
        <w:tc>
          <w:tcPr>
            <w:tcW w:w="1596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>100 &lt; t</w:t>
            </w:r>
          </w:p>
        </w:tc>
        <w:tc>
          <w:tcPr>
            <w:tcW w:w="1525" w:type="dxa"/>
          </w:tcPr>
          <w:p w:rsidR="009E41F9" w:rsidRPr="004C75A7" w:rsidRDefault="009E41F9" w:rsidP="00355627">
            <w:pPr>
              <w:spacing w:before="40" w:after="120"/>
            </w:pPr>
            <w:r w:rsidRPr="004C75A7">
              <w:t>6</w:t>
            </w:r>
          </w:p>
        </w:tc>
        <w:tc>
          <w:tcPr>
            <w:tcW w:w="179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9E41F9" w:rsidRPr="004C75A7" w:rsidRDefault="009E41F9" w:rsidP="00355627">
            <w:pPr>
              <w:spacing w:before="40" w:after="120"/>
            </w:pPr>
            <w:r w:rsidRPr="004C75A7">
              <w:t>без ограничения</w:t>
            </w:r>
          </w:p>
        </w:tc>
      </w:tr>
    </w:tbl>
    <w:p w:rsidR="00CD5334" w:rsidRPr="0022572C" w:rsidRDefault="00CD5334" w:rsidP="00926A5C">
      <w:pPr>
        <w:pStyle w:val="SingleTxtGR"/>
        <w:spacing w:before="120"/>
      </w:pPr>
      <w:r w:rsidRPr="0022572C">
        <w:rPr>
          <w:lang w:val="en-GB"/>
        </w:rPr>
        <w:t>b</w:t>
      </w:r>
      <w:r w:rsidRPr="0022572C">
        <w:t>)</w:t>
      </w:r>
      <w:r w:rsidRPr="0022572C">
        <w:tab/>
        <w:t>при испытании на отслоение растворителя отслаивается менее 3% чист</w:t>
      </w:r>
      <w:r w:rsidRPr="0022572C">
        <w:t>о</w:t>
      </w:r>
      <w:r w:rsidRPr="0022572C">
        <w:t>го растворителя;</w:t>
      </w:r>
    </w:p>
    <w:p w:rsidR="00CD5334" w:rsidRPr="0022572C" w:rsidRDefault="00CD5334" w:rsidP="00CD5334">
      <w:pPr>
        <w:pStyle w:val="SingleTxtGR"/>
      </w:pPr>
      <w:r w:rsidRPr="0022572C">
        <w:rPr>
          <w:lang w:val="en-GB"/>
        </w:rPr>
        <w:t>c</w:t>
      </w:r>
      <w:r w:rsidRPr="0022572C">
        <w:t>)</w:t>
      </w:r>
      <w:r w:rsidRPr="0022572C">
        <w:tab/>
        <w:t>смесь или любой отслоившийся растворитель не отвечает критериям класса 6.1 или класса 8;</w:t>
      </w:r>
    </w:p>
    <w:p w:rsidR="00CD5334" w:rsidRPr="0022572C" w:rsidRDefault="00CD5334" w:rsidP="00CD5334">
      <w:pPr>
        <w:pStyle w:val="SingleTxtGR"/>
        <w:rPr>
          <w:b/>
          <w:i/>
        </w:rPr>
      </w:pPr>
      <w:r w:rsidRPr="0022572C">
        <w:rPr>
          <w:lang w:val="en-GB"/>
        </w:rPr>
        <w:t>d</w:t>
      </w:r>
      <w:r w:rsidRPr="0022572C">
        <w:t>)</w:t>
      </w:r>
      <w:r w:rsidRPr="0022572C">
        <w:tab/>
        <w:t>вещества упакованы в сосуды вместимостью не более 450 л.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b/>
          <w:i/>
        </w:rPr>
        <w:t>ПРИМЕЧАНИЕ</w:t>
      </w:r>
      <w:r w:rsidRPr="0022572C">
        <w:rPr>
          <w:b/>
          <w:bCs/>
        </w:rPr>
        <w:t>:</w:t>
      </w:r>
      <w:r w:rsidRPr="00813BB7">
        <w:rPr>
          <w:b/>
          <w:bCs/>
        </w:rPr>
        <w:t xml:space="preserve"> </w:t>
      </w:r>
      <w:r w:rsidRPr="0022572C">
        <w:rPr>
          <w:i/>
        </w:rPr>
        <w:t>Настоящие положения применяются также к смесям, с</w:t>
      </w:r>
      <w:r w:rsidRPr="0022572C">
        <w:rPr>
          <w:i/>
        </w:rPr>
        <w:t>о</w:t>
      </w:r>
      <w:r w:rsidRPr="0022572C">
        <w:rPr>
          <w:i/>
        </w:rPr>
        <w:t xml:space="preserve">держащим не более 20% нитроцеллюлозы с содержанием азота не более 12,6% (по массе сухого вещества). Смеси, содержащие более 20 %, но не более 55% </w:t>
      </w:r>
      <w:r w:rsidRPr="0022572C">
        <w:rPr>
          <w:i/>
        </w:rPr>
        <w:lastRenderedPageBreak/>
        <w:t>нитроцеллюлозы с содержанием азота не более 12,6% (по массе сухого вещ</w:t>
      </w:r>
      <w:r w:rsidRPr="0022572C">
        <w:rPr>
          <w:i/>
        </w:rPr>
        <w:t>е</w:t>
      </w:r>
      <w:r w:rsidRPr="0022572C">
        <w:rPr>
          <w:i/>
        </w:rPr>
        <w:t>ства), являются веществами, относящимися к № ООН 2059.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i/>
        </w:rPr>
        <w:t>Смеси с температурой вспышки ниже 23 °С, содержащие: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i/>
        </w:rPr>
        <w:t>–</w:t>
      </w:r>
      <w:r w:rsidRPr="0022572C">
        <w:rPr>
          <w:i/>
        </w:rPr>
        <w:tab/>
        <w:t>более 55% нитроцеллюлозы независимо от содержания в них азота; или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i/>
        </w:rPr>
        <w:t>–</w:t>
      </w:r>
      <w:r w:rsidRPr="0022572C">
        <w:rPr>
          <w:i/>
        </w:rPr>
        <w:tab/>
        <w:t>не более 55% нитроцеллюлозы с содержанием азота более 12,6% (по</w:t>
      </w:r>
      <w:r w:rsidR="00926A5C">
        <w:rPr>
          <w:i/>
        </w:rPr>
        <w:t> </w:t>
      </w:r>
      <w:r w:rsidRPr="0022572C">
        <w:rPr>
          <w:i/>
        </w:rPr>
        <w:t>массе сухого вещества),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i/>
        </w:rPr>
        <w:t>являются веществами класса 1 (№ ООН 0340 или 0342) или класса 4.1 (№ ООН 2555, 2556 или 2557).</w:t>
      </w:r>
      <w:r w:rsidRPr="0022572C">
        <w:t>".</w:t>
      </w:r>
    </w:p>
    <w:p w:rsidR="00CD5334" w:rsidRPr="0022572C" w:rsidRDefault="00CD5334" w:rsidP="00CD5334">
      <w:pPr>
        <w:pStyle w:val="SingleTxtGR"/>
      </w:pPr>
      <w:r w:rsidRPr="0022572C">
        <w:t>Сноска 2 остается без изменений.</w:t>
      </w:r>
    </w:p>
    <w:p w:rsidR="00CD5334" w:rsidRPr="0022572C" w:rsidRDefault="00CD5334" w:rsidP="00CD5334">
      <w:pPr>
        <w:pStyle w:val="SingleTxtGR"/>
      </w:pPr>
      <w:r w:rsidRPr="0022572C">
        <w:rPr>
          <w:bCs/>
        </w:rPr>
        <w:t>2.2.52.1.8</w:t>
      </w:r>
      <w:r w:rsidRPr="0022572C">
        <w:tab/>
        <w:t>В начале исключить "составов или смесей органических перокс</w:t>
      </w:r>
      <w:r w:rsidRPr="0022572C">
        <w:t>и</w:t>
      </w:r>
      <w:r w:rsidRPr="0022572C">
        <w:t>дов".</w:t>
      </w:r>
    </w:p>
    <w:p w:rsidR="00CD5334" w:rsidRPr="0022572C" w:rsidRDefault="00CD5334" w:rsidP="00CD5334">
      <w:pPr>
        <w:pStyle w:val="SingleTxtGR"/>
      </w:pPr>
      <w:r w:rsidRPr="0022572C">
        <w:rPr>
          <w:bCs/>
          <w:lang w:val="it-IT"/>
        </w:rPr>
        <w:t>2.2.9.1.10.1.3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HChGR"/>
      </w:pPr>
      <w:r w:rsidRPr="0022572C">
        <w:tab/>
      </w:r>
      <w:r w:rsidRPr="0022572C">
        <w:tab/>
        <w:t xml:space="preserve">Глава 3.2, таблица </w:t>
      </w:r>
      <w:r w:rsidRPr="0022572C">
        <w:rPr>
          <w:lang w:val="en-GB"/>
        </w:rPr>
        <w:t>A</w:t>
      </w:r>
    </w:p>
    <w:p w:rsidR="00CD5334" w:rsidRPr="0022572C" w:rsidRDefault="00CD5334" w:rsidP="00CD5334">
      <w:pPr>
        <w:pStyle w:val="SingleTxtGR"/>
      </w:pPr>
      <w:r w:rsidRPr="0022572C">
        <w:t>Для № ООН 1011, 1075, 1965, 1969 и 1978 включить "</w:t>
      </w:r>
      <w:r w:rsidRPr="0022572C">
        <w:rPr>
          <w:lang w:val="en-GB"/>
        </w:rPr>
        <w:t>TT</w:t>
      </w:r>
      <w:r w:rsidRPr="0022572C">
        <w:t>11" в колонку 13.</w:t>
      </w:r>
    </w:p>
    <w:p w:rsidR="00CD5334" w:rsidRPr="0022572C" w:rsidRDefault="00CD5334" w:rsidP="00CD5334">
      <w:pPr>
        <w:pStyle w:val="SingleTxtGR"/>
      </w:pPr>
      <w:r w:rsidRPr="0022572C">
        <w:t>Для № ООН 1131 включить "</w:t>
      </w:r>
      <w:r w:rsidRPr="0022572C">
        <w:rPr>
          <w:lang w:val="en-GB"/>
        </w:rPr>
        <w:t>TU</w:t>
      </w:r>
      <w:r w:rsidRPr="0022572C">
        <w:t>2" в колонку 13.</w:t>
      </w:r>
    </w:p>
    <w:p w:rsidR="00CD5334" w:rsidRPr="0022572C" w:rsidRDefault="00CD5334" w:rsidP="00CD5334">
      <w:pPr>
        <w:pStyle w:val="SingleTxtGR"/>
      </w:pPr>
      <w:r w:rsidRPr="0022572C">
        <w:t>В позициях под № ООН 1133, 1139, 1169, 1197, 1210, 1263, 1266, 1286, 1287, 1306, 1866, 1993 и 1999, для которых в колонке 6 указано специальное полож</w:t>
      </w:r>
      <w:r w:rsidRPr="0022572C">
        <w:t>е</w:t>
      </w:r>
      <w:r w:rsidRPr="0022572C">
        <w:t>ние "640</w:t>
      </w:r>
      <w:r w:rsidRPr="0022572C">
        <w:rPr>
          <w:lang w:val="en-GB"/>
        </w:rPr>
        <w:t>F</w:t>
      </w:r>
      <w:r w:rsidRPr="0022572C">
        <w:t>", "640</w:t>
      </w:r>
      <w:r w:rsidRPr="0022572C">
        <w:rPr>
          <w:lang w:val="en-GB"/>
        </w:rPr>
        <w:t>G</w:t>
      </w:r>
      <w:r w:rsidRPr="0022572C">
        <w:t>" или "640</w:t>
      </w:r>
      <w:r w:rsidRPr="0022572C">
        <w:rPr>
          <w:lang w:val="en-GB"/>
        </w:rPr>
        <w:t>H</w:t>
      </w:r>
      <w:r w:rsidRPr="0022572C">
        <w:t>", исключить положения по цистернам в коло</w:t>
      </w:r>
      <w:r w:rsidRPr="0022572C">
        <w:t>н</w:t>
      </w:r>
      <w:r w:rsidRPr="0022572C">
        <w:t>ках</w:t>
      </w:r>
      <w:r w:rsidR="00EF6CCA">
        <w:t> </w:t>
      </w:r>
      <w:r w:rsidRPr="0022572C">
        <w:t>10, 11 и 12, исключить "</w:t>
      </w:r>
      <w:r w:rsidRPr="0022572C">
        <w:rPr>
          <w:lang w:val="en-GB"/>
        </w:rPr>
        <w:t>FL</w:t>
      </w:r>
      <w:r w:rsidRPr="0022572C">
        <w:t>" в колонке 14 и исключить "</w:t>
      </w:r>
      <w:r w:rsidRPr="0022572C">
        <w:rPr>
          <w:lang w:val="en-GB"/>
        </w:rPr>
        <w:t>LP</w:t>
      </w:r>
      <w:r w:rsidRPr="0022572C">
        <w:t>01" в колонке 8. В</w:t>
      </w:r>
      <w:r w:rsidR="00EF6CCA">
        <w:t> </w:t>
      </w:r>
      <w:r w:rsidRPr="0022572C">
        <w:t>колонке 15 заменить "(</w:t>
      </w:r>
      <w:r w:rsidRPr="0022572C">
        <w:rPr>
          <w:lang w:val="en-GB"/>
        </w:rPr>
        <w:t>D</w:t>
      </w:r>
      <w:r w:rsidRPr="0022572C">
        <w:t>/</w:t>
      </w:r>
      <w:r w:rsidRPr="0022572C">
        <w:rPr>
          <w:lang w:val="en-GB"/>
        </w:rPr>
        <w:t>E</w:t>
      </w:r>
      <w:r w:rsidRPr="0022572C">
        <w:t>)" на "(</w:t>
      </w:r>
      <w:r w:rsidRPr="0022572C">
        <w:rPr>
          <w:lang w:val="en-GB"/>
        </w:rPr>
        <w:t>E</w:t>
      </w:r>
      <w:r w:rsidRPr="0022572C">
        <w:t>)".</w:t>
      </w:r>
    </w:p>
    <w:p w:rsidR="00CD5334" w:rsidRPr="0022572C" w:rsidRDefault="00CD5334" w:rsidP="00CD5334">
      <w:pPr>
        <w:pStyle w:val="SingleTxtGR"/>
      </w:pPr>
      <w:r w:rsidRPr="0022572C">
        <w:t>В позициях под № ООН 1133, 1139, 1169, 1197, 1210, 1263, 1266, 1286, 1287, 1306, 1866, 1993 и 1999, для которых в колонке 6 указано специальное полож</w:t>
      </w:r>
      <w:r w:rsidRPr="0022572C">
        <w:t>е</w:t>
      </w:r>
      <w:r w:rsidRPr="0022572C">
        <w:t>ние "640</w:t>
      </w:r>
      <w:r w:rsidRPr="0022572C">
        <w:rPr>
          <w:lang w:val="en-GB"/>
        </w:rPr>
        <w:t>H</w:t>
      </w:r>
      <w:r w:rsidRPr="0022572C">
        <w:t>", включить "</w:t>
      </w:r>
      <w:r w:rsidRPr="0022572C">
        <w:rPr>
          <w:lang w:val="en-GB"/>
        </w:rPr>
        <w:t>BB</w:t>
      </w:r>
      <w:r w:rsidRPr="0022572C">
        <w:t>4" в колонку 9</w:t>
      </w:r>
      <w:r w:rsidRPr="0022572C">
        <w:rPr>
          <w:lang w:val="en-GB"/>
        </w:rPr>
        <w:t>a</w:t>
      </w:r>
      <w:r w:rsidRPr="0022572C">
        <w:t xml:space="preserve"> напротив "</w:t>
      </w:r>
      <w:r w:rsidRPr="0022572C">
        <w:rPr>
          <w:lang w:val="en-GB"/>
        </w:rPr>
        <w:t>IBC</w:t>
      </w:r>
      <w:r w:rsidRPr="0022572C">
        <w:t>02" в колонке 8.</w:t>
      </w:r>
    </w:p>
    <w:p w:rsidR="00CD5334" w:rsidRPr="0022572C" w:rsidRDefault="00CD5334" w:rsidP="00CD5334">
      <w:pPr>
        <w:pStyle w:val="SingleTxtGR"/>
      </w:pPr>
      <w:r w:rsidRPr="0022572C">
        <w:t>Для № ООН 1972 включить "660" в колонку 6.</w:t>
      </w:r>
    </w:p>
    <w:p w:rsidR="00CD5334" w:rsidRPr="0022572C" w:rsidRDefault="00CD5334" w:rsidP="00CD5334">
      <w:pPr>
        <w:pStyle w:val="SingleTxtGR"/>
      </w:pPr>
      <w:r w:rsidRPr="0022572C">
        <w:t xml:space="preserve">Для № ООН 3170, ГУ </w:t>
      </w:r>
      <w:r w:rsidRPr="0022572C">
        <w:rPr>
          <w:lang w:val="en-GB"/>
        </w:rPr>
        <w:t>II</w:t>
      </w:r>
      <w:r w:rsidRPr="0022572C">
        <w:t xml:space="preserve"> и </w:t>
      </w:r>
      <w:r w:rsidRPr="0022572C">
        <w:rPr>
          <w:lang w:val="en-GB"/>
        </w:rPr>
        <w:t>III</w:t>
      </w:r>
      <w:r w:rsidRPr="0022572C">
        <w:t>, включить "</w:t>
      </w:r>
      <w:r w:rsidRPr="0022572C">
        <w:rPr>
          <w:lang w:val="en-GB"/>
        </w:rPr>
        <w:t>CV</w:t>
      </w:r>
      <w:r w:rsidRPr="0022572C">
        <w:t>37" в колонку 18.</w:t>
      </w:r>
    </w:p>
    <w:p w:rsidR="00CD5334" w:rsidRPr="0022572C" w:rsidRDefault="00CD5334" w:rsidP="00CD5334">
      <w:pPr>
        <w:pStyle w:val="SingleTxtGR"/>
      </w:pPr>
      <w:r w:rsidRPr="0022572C">
        <w:t>Для № ООН 3507 включить "(</w:t>
      </w:r>
      <w:r w:rsidRPr="0022572C">
        <w:rPr>
          <w:lang w:val="en-GB"/>
        </w:rPr>
        <w:t>D</w:t>
      </w:r>
      <w:r w:rsidRPr="0022572C">
        <w:t>)" в колонку 15, в нижней части клетки.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3.3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t>СП</w:t>
      </w:r>
      <w:r w:rsidRPr="0022572C">
        <w:rPr>
          <w:lang/>
        </w:rPr>
        <w:t xml:space="preserve"> 363</w:t>
      </w:r>
      <w:r w:rsidRPr="0022572C">
        <w:rPr>
          <w:lang/>
        </w:rPr>
        <w:tab/>
      </w:r>
      <w:r w:rsidRPr="0022572C">
        <w:t>В первом предложении заменить</w:t>
      </w:r>
      <w:r w:rsidRPr="0022572C">
        <w:rPr>
          <w:lang/>
        </w:rPr>
        <w:t>"</w:t>
      </w:r>
      <w:r w:rsidRPr="0022572C">
        <w:rPr>
          <w:bCs/>
        </w:rPr>
        <w:t>пунктом</w:t>
      </w:r>
      <w:r w:rsidRPr="0022572C">
        <w:rPr>
          <w:bCs/>
          <w:lang/>
        </w:rPr>
        <w:t xml:space="preserve"> a) </w:t>
      </w:r>
      <w:r w:rsidRPr="0022572C">
        <w:rPr>
          <w:bCs/>
        </w:rPr>
        <w:t>или</w:t>
      </w:r>
      <w:r w:rsidRPr="0022572C">
        <w:rPr>
          <w:bCs/>
          <w:lang/>
        </w:rPr>
        <w:t xml:space="preserve"> b) </w:t>
      </w:r>
      <w:r w:rsidRPr="0022572C">
        <w:rPr>
          <w:bCs/>
        </w:rPr>
        <w:t>подраздела</w:t>
      </w:r>
      <w:r w:rsidRPr="0022572C">
        <w:rPr>
          <w:bCs/>
          <w:lang/>
        </w:rPr>
        <w:t>"</w:t>
      </w:r>
      <w:r w:rsidRPr="0022572C">
        <w:rPr>
          <w:bCs/>
        </w:rPr>
        <w:t xml:space="preserve"> на "подразделом"</w:t>
      </w:r>
      <w:r w:rsidRPr="0022572C">
        <w:rPr>
          <w:bCs/>
          <w:lang/>
        </w:rPr>
        <w:t>.</w:t>
      </w:r>
    </w:p>
    <w:p w:rsidR="00CD5334" w:rsidRPr="0022572C" w:rsidRDefault="00CD5334" w:rsidP="00CD5334">
      <w:pPr>
        <w:pStyle w:val="SingleTxtGR"/>
      </w:pPr>
      <w:r w:rsidRPr="0022572C">
        <w:t>СП 660</w:t>
      </w:r>
      <w:r w:rsidRPr="0022572C">
        <w:tab/>
        <w:t>Изменить сноску 6 к специальному положению 660 следующим о</w:t>
      </w:r>
      <w:r w:rsidRPr="0022572C">
        <w:t>б</w:t>
      </w:r>
      <w:r w:rsidRPr="0022572C">
        <w:t>разом: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t>"</w:t>
      </w:r>
      <w:r w:rsidRPr="0022572C">
        <w:rPr>
          <w:iCs/>
          <w:vertAlign w:val="superscript"/>
        </w:rPr>
        <w:t>6</w:t>
      </w:r>
      <w:r w:rsidRPr="0022572C">
        <w:rPr>
          <w:i/>
          <w:iCs/>
          <w:vertAlign w:val="superscript"/>
        </w:rPr>
        <w:tab/>
      </w:r>
      <w:r w:rsidRPr="0022572C">
        <w:rPr>
          <w:i/>
        </w:rPr>
        <w:t>Правила № 110 ЕЭК (Единообразные предписания, касающиеся офиц</w:t>
      </w:r>
      <w:r w:rsidRPr="0022572C">
        <w:rPr>
          <w:i/>
        </w:rPr>
        <w:t>и</w:t>
      </w:r>
      <w:r w:rsidRPr="0022572C">
        <w:rPr>
          <w:i/>
        </w:rPr>
        <w:t>ального утверждения: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i/>
        </w:rPr>
        <w:t>I.</w:t>
      </w:r>
      <w:r w:rsidRPr="0022572C">
        <w:rPr>
          <w:i/>
        </w:rPr>
        <w:tab/>
        <w:t>Элементов специального оборудования автотранспортных средств, дв</w:t>
      </w:r>
      <w:r w:rsidRPr="0022572C">
        <w:rPr>
          <w:i/>
        </w:rPr>
        <w:t>и</w:t>
      </w:r>
      <w:r w:rsidRPr="0022572C">
        <w:rPr>
          <w:i/>
        </w:rPr>
        <w:t>гатели которых работают на компримированном природном газе (КПГ) и/или сжиженном природном газе (СПГ);</w:t>
      </w:r>
    </w:p>
    <w:p w:rsidR="00CD5334" w:rsidRPr="0022572C" w:rsidRDefault="00CD5334" w:rsidP="00EF6CCA">
      <w:pPr>
        <w:pStyle w:val="SingleTxtGR"/>
        <w:keepNext/>
        <w:keepLines/>
      </w:pPr>
      <w:r w:rsidRPr="0022572C">
        <w:rPr>
          <w:i/>
        </w:rPr>
        <w:lastRenderedPageBreak/>
        <w:t>II.</w:t>
      </w:r>
      <w:r w:rsidRPr="0022572C">
        <w:rPr>
          <w:i/>
        </w:rPr>
        <w:tab/>
        <w:t>Транспортных средств в отношении установки элементов спец</w:t>
      </w:r>
      <w:r w:rsidRPr="0022572C">
        <w:rPr>
          <w:i/>
        </w:rPr>
        <w:t>и</w:t>
      </w:r>
      <w:r w:rsidRPr="0022572C">
        <w:rPr>
          <w:i/>
        </w:rPr>
        <w:t>ального оборудования официально утвержденного типа для использования в их двиг</w:t>
      </w:r>
      <w:r w:rsidRPr="0022572C">
        <w:rPr>
          <w:i/>
        </w:rPr>
        <w:t>а</w:t>
      </w:r>
      <w:r w:rsidRPr="0022572C">
        <w:rPr>
          <w:i/>
        </w:rPr>
        <w:t>телях компримированного природного газа (КПГ) и/или сжиженного природн</w:t>
      </w:r>
      <w:r w:rsidRPr="0022572C">
        <w:rPr>
          <w:i/>
        </w:rPr>
        <w:t>о</w:t>
      </w:r>
      <w:r w:rsidR="00EF6CCA">
        <w:rPr>
          <w:i/>
        </w:rPr>
        <w:t>го газа (СПГ)".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4.1</w:t>
      </w:r>
    </w:p>
    <w:p w:rsidR="00CD5334" w:rsidRPr="0022572C" w:rsidRDefault="00CD5334" w:rsidP="00CD5334">
      <w:pPr>
        <w:pStyle w:val="SingleTxtGR"/>
      </w:pPr>
      <w:r w:rsidRPr="0022572C">
        <w:t>4.1.1.19</w:t>
      </w:r>
      <w:r w:rsidRPr="0022572C">
        <w:tab/>
        <w:t>В конце добавить: "и крупногабаритной аварийной тары".</w:t>
      </w:r>
    </w:p>
    <w:p w:rsidR="00CD5334" w:rsidRPr="0022572C" w:rsidRDefault="00CD5334" w:rsidP="00CD5334">
      <w:pPr>
        <w:pStyle w:val="SingleTxtGR"/>
      </w:pPr>
      <w:r w:rsidRPr="0022572C">
        <w:t>4.1.1.19.1</w:t>
      </w:r>
      <w:r w:rsidRPr="0022572C">
        <w:tab/>
        <w:t>В конце первого предложения добавить: "и крупногабаритной ав</w:t>
      </w:r>
      <w:r w:rsidRPr="0022572C">
        <w:t>а</w:t>
      </w:r>
      <w:r w:rsidRPr="0022572C">
        <w:t xml:space="preserve">рийной таре, упомянутой в пункте 6.6.5.1.9". </w:t>
      </w:r>
    </w:p>
    <w:p w:rsidR="00CD5334" w:rsidRPr="0022572C" w:rsidRDefault="00CD5334" w:rsidP="00CD5334">
      <w:pPr>
        <w:pStyle w:val="SingleTxtGR"/>
      </w:pPr>
      <w:r w:rsidRPr="0022572C">
        <w:t>4.1.1.19.1</w:t>
      </w:r>
      <w:r w:rsidRPr="0022572C">
        <w:tab/>
        <w:t>Во втором предложении после "тары" включить: ", включая КСГМГ и крупногабаритную тару,".</w:t>
      </w:r>
    </w:p>
    <w:p w:rsidR="00CD5334" w:rsidRPr="0022572C" w:rsidRDefault="00CD5334" w:rsidP="00CD5334">
      <w:pPr>
        <w:pStyle w:val="SingleTxtGR"/>
      </w:pPr>
      <w:r w:rsidRPr="0022572C">
        <w:t>4.1.1.19.2</w:t>
      </w:r>
      <w:r w:rsidRPr="0022572C">
        <w:tab/>
        <w:t>В первом предложении после "аварийной тары" включить: "или крупногабаритной аварийной тары". Во втором предложении после "аварийная тара" включить: "или крупногабаритная аварийная тара".</w:t>
      </w:r>
    </w:p>
    <w:p w:rsidR="00CD5334" w:rsidRPr="0022572C" w:rsidRDefault="00CD5334" w:rsidP="00CD5334">
      <w:pPr>
        <w:pStyle w:val="SingleTxtGR"/>
      </w:pPr>
      <w:r w:rsidRPr="0022572C">
        <w:t xml:space="preserve">4.1.4.1, </w:t>
      </w:r>
      <w:r w:rsidRPr="0022572C">
        <w:rPr>
          <w:lang w:val="en-GB"/>
        </w:rPr>
        <w:t>P</w:t>
      </w:r>
      <w:r w:rsidRPr="0022572C">
        <w:t xml:space="preserve">200 (10) </w:t>
      </w:r>
      <w:r w:rsidRPr="0022572C">
        <w:rPr>
          <w:lang w:val="en-GB"/>
        </w:rPr>
        <w:t>u</w:t>
      </w:r>
      <w:r w:rsidRPr="0022572C">
        <w:tab/>
        <w:t>Заменить "</w:t>
      </w:r>
      <w:r w:rsidRPr="0022572C">
        <w:rPr>
          <w:lang w:val="en-GB"/>
        </w:rPr>
        <w:t>ISO</w:t>
      </w:r>
      <w:r w:rsidRPr="0022572C">
        <w:t xml:space="preserve"> 7866:1999" на "</w:t>
      </w:r>
      <w:r w:rsidRPr="0022572C">
        <w:rPr>
          <w:lang w:val="en-GB"/>
        </w:rPr>
        <w:t>ISO</w:t>
      </w:r>
      <w:r w:rsidRPr="0022572C">
        <w:t xml:space="preserve"> 7866:2012".</w:t>
      </w:r>
    </w:p>
    <w:p w:rsidR="00CD5334" w:rsidRPr="0022572C" w:rsidRDefault="00CD5334" w:rsidP="00CD5334">
      <w:pPr>
        <w:pStyle w:val="SingleTxtGR"/>
      </w:pPr>
      <w:r w:rsidRPr="0022572C">
        <w:t>4.1.4.1, P200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t>4.1.4.2</w:t>
      </w:r>
    </w:p>
    <w:p w:rsidR="00CD5334" w:rsidRPr="0022572C" w:rsidRDefault="00CD5334" w:rsidP="00CD5334">
      <w:pPr>
        <w:pStyle w:val="SingleTxtGR"/>
      </w:pPr>
      <w:r w:rsidRPr="0022572C">
        <w:rPr>
          <w:lang w:val="en-GB"/>
        </w:rPr>
        <w:t>IBC</w:t>
      </w:r>
      <w:r w:rsidRPr="0022572C">
        <w:t>02</w:t>
      </w:r>
      <w:r w:rsidRPr="0022572C">
        <w:tab/>
        <w:t>Включить новое специальное положение по упаковке, предусмо</w:t>
      </w:r>
      <w:r w:rsidRPr="0022572C">
        <w:t>т</w:t>
      </w:r>
      <w:r w:rsidRPr="0022572C">
        <w:t>ренное МПОГ и ДОПОГ:</w:t>
      </w:r>
    </w:p>
    <w:p w:rsidR="00CD5334" w:rsidRPr="0022572C" w:rsidRDefault="00CD5334" w:rsidP="00CD5334">
      <w:pPr>
        <w:pStyle w:val="SingleTxtGR"/>
      </w:pPr>
      <w:r w:rsidRPr="0022572C">
        <w:t>"BB4</w:t>
      </w:r>
      <w:r w:rsidRPr="0022572C">
        <w:tab/>
        <w:t>Для № ООН 1133, 1139, 1169, 1197, 1210, 1263, 1266, 1286, 1287, 1306, 1866, 1993 и 1999, отнесенных к группе упаковки III в соответствии с пун</w:t>
      </w:r>
      <w:r w:rsidRPr="0022572C">
        <w:t>к</w:t>
      </w:r>
      <w:r w:rsidRPr="0022572C">
        <w:t>том</w:t>
      </w:r>
      <w:r w:rsidR="004814E6">
        <w:t> </w:t>
      </w:r>
      <w:r w:rsidRPr="0022572C">
        <w:t>2.2.3.1.4: не разрешается использовать КСГМГ вместимостью более 450 л".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rPr>
          <w:bCs/>
        </w:rPr>
        <w:t>4.1.10.1</w:t>
      </w:r>
      <w:r w:rsidRPr="0022572C">
        <w:rPr>
          <w:bCs/>
        </w:rPr>
        <w:tab/>
        <w:t>В примечании 2 заменить "грузов класса 7" на "радиоактивных м</w:t>
      </w:r>
      <w:r w:rsidRPr="0022572C">
        <w:rPr>
          <w:bCs/>
        </w:rPr>
        <w:t>а</w:t>
      </w:r>
      <w:r w:rsidRPr="0022572C">
        <w:rPr>
          <w:bCs/>
        </w:rPr>
        <w:t xml:space="preserve">териалов". 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rPr>
          <w:bCs/>
        </w:rPr>
        <w:t xml:space="preserve">4.1.10.4 </w:t>
      </w:r>
      <w:r w:rsidRPr="0022572C">
        <w:rPr>
          <w:bCs/>
          <w:lang w:val="en-GB"/>
        </w:rPr>
        <w:t>MP </w:t>
      </w:r>
      <w:r w:rsidRPr="0022572C">
        <w:rPr>
          <w:bCs/>
        </w:rPr>
        <w:t>18</w:t>
      </w:r>
      <w:r w:rsidRPr="0022572C">
        <w:rPr>
          <w:bCs/>
        </w:rPr>
        <w:tab/>
      </w:r>
      <w:r w:rsidRPr="0022572C"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rPr>
          <w:bCs/>
        </w:rPr>
        <w:t xml:space="preserve">4.1.10.4 </w:t>
      </w:r>
      <w:r w:rsidRPr="0022572C">
        <w:rPr>
          <w:bCs/>
          <w:lang w:val="en-GB"/>
        </w:rPr>
        <w:t>MP </w:t>
      </w:r>
      <w:r w:rsidRPr="0022572C">
        <w:rPr>
          <w:bCs/>
        </w:rPr>
        <w:t>20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rPr>
          <w:bCs/>
        </w:rPr>
        <w:t xml:space="preserve">4.1.10.4 </w:t>
      </w:r>
      <w:r w:rsidRPr="0022572C">
        <w:rPr>
          <w:bCs/>
          <w:lang w:val="en-GB"/>
        </w:rPr>
        <w:t>MP </w:t>
      </w:r>
      <w:r w:rsidRPr="0022572C">
        <w:rPr>
          <w:bCs/>
        </w:rPr>
        <w:t>23</w:t>
      </w:r>
      <w:r w:rsidRPr="0022572C">
        <w:rPr>
          <w:bCs/>
        </w:rPr>
        <w:tab/>
      </w:r>
      <w:r w:rsidRPr="0022572C">
        <w:t>Данная поправка не касается текста на русском языке.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4.5</w:t>
      </w:r>
    </w:p>
    <w:p w:rsidR="00CD5334" w:rsidRPr="0022572C" w:rsidRDefault="00CD5334" w:rsidP="00CD5334">
      <w:pPr>
        <w:pStyle w:val="SingleTxtGR"/>
      </w:pPr>
      <w:r w:rsidRPr="0022572C">
        <w:t>4.5.2.1</w:t>
      </w:r>
      <w:r w:rsidRPr="0022572C">
        <w:tab/>
        <w:t>Заменить "4.5.2.2−4.5.2.4" на "4.5.2.2−4.5.2.6".</w:t>
      </w:r>
    </w:p>
    <w:p w:rsidR="00CD5334" w:rsidRPr="0022572C" w:rsidRDefault="00CD5334" w:rsidP="00CD5334">
      <w:pPr>
        <w:pStyle w:val="SingleTxtGR"/>
      </w:pPr>
      <w:r w:rsidRPr="0022572C">
        <w:t>4.5.2</w:t>
      </w:r>
      <w:r w:rsidRPr="0022572C">
        <w:tab/>
      </w:r>
      <w:r w:rsidRPr="0022572C">
        <w:tab/>
        <w:t>Включить новые подразделы 4.5.2.5 и 4.5.2.6 следующего содерж</w:t>
      </w:r>
      <w:r w:rsidRPr="0022572C">
        <w:t>а</w:t>
      </w:r>
      <w:r w:rsidRPr="0022572C">
        <w:t>ния:</w:t>
      </w:r>
    </w:p>
    <w:p w:rsidR="00CD5334" w:rsidRPr="0022572C" w:rsidRDefault="00CD5334" w:rsidP="00CD5334">
      <w:pPr>
        <w:pStyle w:val="SingleTxtGR"/>
      </w:pPr>
      <w:r w:rsidRPr="0022572C">
        <w:t>"4.5.2.5</w:t>
      </w:r>
      <w:r w:rsidRPr="0022572C">
        <w:tab/>
      </w:r>
      <w:r w:rsidRPr="0022572C">
        <w:rPr>
          <w:i/>
        </w:rPr>
        <w:t>(Зарезервирован)</w:t>
      </w:r>
    </w:p>
    <w:p w:rsidR="00CD5334" w:rsidRPr="0022572C" w:rsidRDefault="00CD5334" w:rsidP="00CD5334">
      <w:pPr>
        <w:pStyle w:val="SingleTxtGR"/>
      </w:pPr>
      <w:r w:rsidRPr="0022572C">
        <w:t>4.5.2.6</w:t>
      </w:r>
      <w:r w:rsidRPr="0022572C">
        <w:tab/>
        <w:t>Когда для закачивания или слива легковоспламеняющихся жидк</w:t>
      </w:r>
      <w:r w:rsidRPr="0022572C">
        <w:t>о</w:t>
      </w:r>
      <w:r w:rsidRPr="0022572C">
        <w:t>стей используется вакуумный насос/эксгаустер, способный стать источником возгорания, следует принять меры предосторожности с целью избежать во</w:t>
      </w:r>
      <w:r w:rsidRPr="0022572C">
        <w:t>с</w:t>
      </w:r>
      <w:r w:rsidRPr="0022572C">
        <w:t>пламенения вещества или избежать распространения последствий воспламен</w:t>
      </w:r>
      <w:r w:rsidRPr="0022572C">
        <w:t>е</w:t>
      </w:r>
      <w:r w:rsidRPr="0022572C">
        <w:t>ния за пределы собственно цистерны".</w:t>
      </w:r>
    </w:p>
    <w:p w:rsidR="00CD5334" w:rsidRPr="00813BB7" w:rsidRDefault="00CD5334" w:rsidP="00CD5334">
      <w:pPr>
        <w:pStyle w:val="HChGR"/>
      </w:pPr>
      <w:r w:rsidRPr="00813BB7">
        <w:lastRenderedPageBreak/>
        <w:tab/>
      </w:r>
      <w:r w:rsidRPr="00813BB7">
        <w:tab/>
        <w:t>Глава 5.2</w:t>
      </w:r>
    </w:p>
    <w:p w:rsidR="00CD5334" w:rsidRPr="0022572C" w:rsidRDefault="00CD5334" w:rsidP="00CD5334">
      <w:pPr>
        <w:pStyle w:val="SingleTxtGR"/>
      </w:pPr>
      <w:r w:rsidRPr="0022572C">
        <w:t>5.2.2.1.11.1</w:t>
      </w:r>
      <w:r w:rsidRPr="0022572C">
        <w:tab/>
        <w:t>Исключить третье предложение, которое гласит: "Каждый тран</w:t>
      </w:r>
      <w:r w:rsidRPr="0022572C">
        <w:t>с</w:t>
      </w:r>
      <w:r w:rsidRPr="0022572C">
        <w:t>портный пакет, содержащий радиоактивный материал, должен иметь по мен</w:t>
      </w:r>
      <w:r w:rsidRPr="0022572C">
        <w:t>ь</w:t>
      </w:r>
      <w:r w:rsidRPr="0022572C">
        <w:t>шей мере два знака опасности на противоположных внешних поверхностях транспортного пакета".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5.3</w:t>
      </w:r>
    </w:p>
    <w:p w:rsidR="00CD5334" w:rsidRPr="0022572C" w:rsidRDefault="00CD5334" w:rsidP="00CD5334">
      <w:pPr>
        <w:pStyle w:val="SingleTxtGR"/>
      </w:pPr>
      <w:r w:rsidRPr="0022572C">
        <w:t>5.3.1.2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t>5.3.1.4.1</w:t>
      </w:r>
      <w:r w:rsidRPr="0022572C">
        <w:tab/>
        <w:t>Данная поправка не касается текста на русском языке.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5.4</w:t>
      </w:r>
    </w:p>
    <w:p w:rsidR="00CD5334" w:rsidRPr="0022572C" w:rsidRDefault="00CD5334" w:rsidP="00CD5334">
      <w:pPr>
        <w:pStyle w:val="SingleTxtGR"/>
      </w:pPr>
      <w:r w:rsidRPr="0022572C">
        <w:t>5.4.3.4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t>5.4.3.4</w:t>
      </w:r>
      <w:r w:rsidRPr="0022572C">
        <w:tab/>
        <w:t>На первой странице письменных инструкций изменить второй по</w:t>
      </w:r>
      <w:r w:rsidRPr="0022572C">
        <w:t>д</w:t>
      </w:r>
      <w:r w:rsidRPr="0022572C">
        <w:t>пункт следующим образом:</w:t>
      </w:r>
    </w:p>
    <w:p w:rsidR="00CD5334" w:rsidRPr="0022572C" w:rsidRDefault="004814E6" w:rsidP="00CD5334">
      <w:pPr>
        <w:pStyle w:val="SingleTxtGR"/>
      </w:pPr>
      <w:r>
        <w:t>"</w:t>
      </w:r>
      <w:r w:rsidR="00CD5334" w:rsidRPr="0022572C">
        <w:t>−</w:t>
      </w:r>
      <w:r>
        <w:tab/>
      </w:r>
      <w:r w:rsidR="00CD5334" w:rsidRPr="0022572C">
        <w:t>держаться в удалении от источников возгорания, в частности не курить, не использовать электронные сигареты и аналогичные устройства и не вкл</w:t>
      </w:r>
      <w:r w:rsidR="00CD5334" w:rsidRPr="0022572C">
        <w:t>ю</w:t>
      </w:r>
      <w:r w:rsidR="00CD5334" w:rsidRPr="0022572C">
        <w:t>чать какое-либо электрооборудование;".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6.2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rPr>
          <w:bCs/>
        </w:rPr>
        <w:t>6.2.1.3.6.4.4</w:t>
      </w:r>
      <w:r w:rsidRPr="00C60159">
        <w:tab/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t>6.2.2.1.1</w:t>
      </w:r>
      <w:r w:rsidRPr="0022572C">
        <w:tab/>
        <w:t>После позиции, предусмотренной для стандарта ISO 7866:1999, включить новую позицию следующего содержания: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47"/>
        <w:gridCol w:w="3899"/>
        <w:gridCol w:w="1824"/>
      </w:tblGrid>
      <w:tr w:rsidR="00CD5334" w:rsidRPr="00C60159" w:rsidTr="00355627">
        <w:tc>
          <w:tcPr>
            <w:tcW w:w="1668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ISO 7866:2012</w:t>
            </w:r>
          </w:p>
        </w:tc>
        <w:tc>
          <w:tcPr>
            <w:tcW w:w="3969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 xml:space="preserve">Газовые баллоны </w:t>
            </w:r>
            <w:r w:rsidR="004814E6">
              <w:t>−</w:t>
            </w:r>
            <w:r w:rsidRPr="00C60159">
              <w:t xml:space="preserve"> Бесшовные газовые баллоны многоразового использования из</w:t>
            </w:r>
            <w:r w:rsidR="004814E6">
              <w:t> </w:t>
            </w:r>
            <w:r w:rsidRPr="00C60159">
              <w:t>алюминиевого сплава</w:t>
            </w:r>
            <w:r w:rsidR="004814E6">
              <w:t xml:space="preserve"> − </w:t>
            </w:r>
            <w:r w:rsidRPr="00C60159">
              <w:t>Конструкция, и</w:t>
            </w:r>
            <w:r w:rsidRPr="00C60159">
              <w:t>з</w:t>
            </w:r>
            <w:r w:rsidRPr="00C60159">
              <w:t>готовление и испытания</w:t>
            </w:r>
          </w:p>
          <w:p w:rsidR="00CD5334" w:rsidRPr="00355627" w:rsidRDefault="00CD5334" w:rsidP="00355627">
            <w:pPr>
              <w:spacing w:before="40" w:after="120"/>
              <w:rPr>
                <w:i/>
              </w:rPr>
            </w:pPr>
            <w:r w:rsidRPr="00355627">
              <w:rPr>
                <w:b/>
                <w:i/>
              </w:rPr>
              <w:t xml:space="preserve">ПРИМЕЧАНИЕ: </w:t>
            </w:r>
            <w:r w:rsidRPr="00355627">
              <w:rPr>
                <w:i/>
              </w:rPr>
              <w:t>Алюминиевый сплав 6351А или его эквивалент не должен и</w:t>
            </w:r>
            <w:r w:rsidRPr="00355627">
              <w:rPr>
                <w:i/>
              </w:rPr>
              <w:t>с</w:t>
            </w:r>
            <w:r w:rsidRPr="00355627">
              <w:rPr>
                <w:i/>
              </w:rPr>
              <w:t>пользоваться.</w:t>
            </w:r>
          </w:p>
        </w:tc>
        <w:tc>
          <w:tcPr>
            <w:tcW w:w="1842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До дальнейшего указания</w:t>
            </w:r>
          </w:p>
        </w:tc>
      </w:tr>
    </w:tbl>
    <w:p w:rsidR="00CD5334" w:rsidRPr="0022572C" w:rsidRDefault="00CD5334" w:rsidP="004814E6">
      <w:pPr>
        <w:pStyle w:val="SingleTxtGR"/>
        <w:spacing w:before="120"/>
      </w:pPr>
      <w:r w:rsidRPr="0022572C">
        <w:rPr>
          <w:bCs/>
        </w:rPr>
        <w:t>6.2.2.6.5</w:t>
      </w:r>
      <w:r w:rsidRPr="0022572C">
        <w:rPr>
          <w:bCs/>
        </w:rPr>
        <w:tab/>
      </w:r>
      <w:r w:rsidRPr="0022572C"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rPr>
          <w:bCs/>
        </w:rPr>
        <w:t>6.2.2.7.5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</w:pPr>
      <w:r w:rsidRPr="0022572C">
        <w:t>6.2.3.1</w:t>
      </w:r>
      <w:r w:rsidRPr="0022572C">
        <w:tab/>
        <w:t>Включить новый пункт следующего содержания:</w:t>
      </w:r>
    </w:p>
    <w:p w:rsidR="00CD5334" w:rsidRPr="0022572C" w:rsidRDefault="00CD5334" w:rsidP="00CD5334">
      <w:pPr>
        <w:pStyle w:val="SingleTxtGR"/>
      </w:pPr>
      <w:r w:rsidRPr="0022572C">
        <w:t>"6.2.3.1.5</w:t>
      </w:r>
      <w:r w:rsidRPr="0022572C">
        <w:tab/>
        <w:t>Баллоны для ацетилена не должны быть оснащены плавкими пр</w:t>
      </w:r>
      <w:r w:rsidRPr="0022572C">
        <w:t>е</w:t>
      </w:r>
      <w:r w:rsidRPr="0022572C">
        <w:t>дохранительными вставками.".</w:t>
      </w:r>
    </w:p>
    <w:p w:rsidR="00CD5334" w:rsidRPr="0022572C" w:rsidRDefault="00CD5334" w:rsidP="00CD5334">
      <w:pPr>
        <w:pStyle w:val="SingleTxtGR"/>
      </w:pPr>
      <w:r w:rsidRPr="0022572C">
        <w:t>6.2.4.1</w:t>
      </w:r>
      <w:r w:rsidRPr="0022572C">
        <w:tab/>
        <w:t>Внести в таблицу, в раздел "для конструкции и изготовления", сл</w:t>
      </w:r>
      <w:r w:rsidRPr="0022572C">
        <w:t>е</w:t>
      </w:r>
      <w:r w:rsidRPr="0022572C">
        <w:t>дующие изменения: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"EN 1975:1999 + A1:2003", в колонке 4, зам</w:t>
      </w:r>
      <w:r w:rsidRPr="0022572C">
        <w:t>е</w:t>
      </w:r>
      <w:r w:rsidRPr="0022572C">
        <w:t>нить "До 31 декабря 2014</w:t>
      </w:r>
      <w:r w:rsidR="00CD0C66">
        <w:t xml:space="preserve"> года</w:t>
      </w:r>
      <w:r w:rsidRPr="0022572C">
        <w:t>" на "С 1 января 2009 года до 31 декабря 2016 г</w:t>
      </w:r>
      <w:r w:rsidRPr="0022572C">
        <w:t>о</w:t>
      </w:r>
      <w:r w:rsidRPr="0022572C">
        <w:t>да".</w:t>
      </w:r>
    </w:p>
    <w:p w:rsidR="00CD5334" w:rsidRPr="0022572C" w:rsidRDefault="00CD5334" w:rsidP="00CD5334">
      <w:pPr>
        <w:pStyle w:val="SingleTxtGR"/>
      </w:pPr>
      <w:r w:rsidRPr="00C60159">
        <w:lastRenderedPageBreak/>
        <w:t>−</w:t>
      </w:r>
      <w:r w:rsidRPr="0022572C">
        <w:tab/>
        <w:t>После стандарта "EN 1975:1999 + A1:2003" включить следующую новую строку: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38"/>
        <w:gridCol w:w="3051"/>
        <w:gridCol w:w="893"/>
        <w:gridCol w:w="894"/>
        <w:gridCol w:w="894"/>
      </w:tblGrid>
      <w:tr w:rsidR="00CD5334" w:rsidRPr="00C60159" w:rsidTr="00355627">
        <w:tc>
          <w:tcPr>
            <w:tcW w:w="1638" w:type="dxa"/>
          </w:tcPr>
          <w:p w:rsidR="00CD5334" w:rsidRPr="00C60159" w:rsidRDefault="00CD5334" w:rsidP="00355627">
            <w:pPr>
              <w:keepNext/>
              <w:keepLines/>
              <w:spacing w:before="40" w:after="120"/>
            </w:pPr>
            <w:r w:rsidRPr="00C60159">
              <w:t>EN ISO 7866:2012 + AC:2014</w:t>
            </w:r>
          </w:p>
        </w:tc>
        <w:tc>
          <w:tcPr>
            <w:tcW w:w="3051" w:type="dxa"/>
          </w:tcPr>
          <w:p w:rsidR="00CD5334" w:rsidRPr="00C60159" w:rsidRDefault="00CD5334" w:rsidP="00355627">
            <w:pPr>
              <w:keepNext/>
              <w:keepLines/>
              <w:spacing w:before="40" w:after="120"/>
            </w:pPr>
            <w:r w:rsidRPr="00C60159">
              <w:t xml:space="preserve">Газовые баллоны </w:t>
            </w:r>
            <w:r w:rsidR="004814E6">
              <w:t>−</w:t>
            </w:r>
            <w:r w:rsidRPr="00C60159">
              <w:t xml:space="preserve"> Бесшовные г</w:t>
            </w:r>
            <w:r w:rsidRPr="00C60159">
              <w:t>а</w:t>
            </w:r>
            <w:r w:rsidRPr="00C60159">
              <w:t>зовые баллоны многоразового использования из ал</w:t>
            </w:r>
            <w:r w:rsidRPr="00C60159">
              <w:t>ю</w:t>
            </w:r>
            <w:r w:rsidRPr="00C60159">
              <w:t xml:space="preserve">миниевого сплава </w:t>
            </w:r>
            <w:r w:rsidR="004814E6">
              <w:t>−</w:t>
            </w:r>
            <w:r w:rsidRPr="00C60159">
              <w:t xml:space="preserve"> Конструкция, изгото</w:t>
            </w:r>
            <w:r w:rsidRPr="00C60159">
              <w:t>в</w:t>
            </w:r>
            <w:r w:rsidRPr="00C60159">
              <w:t>ление и испытания (ISO 7866:2012)</w:t>
            </w:r>
          </w:p>
        </w:tc>
        <w:tc>
          <w:tcPr>
            <w:tcW w:w="893" w:type="dxa"/>
          </w:tcPr>
          <w:p w:rsidR="00CD5334" w:rsidRPr="00C60159" w:rsidRDefault="00CD5334" w:rsidP="00355627">
            <w:pPr>
              <w:keepNext/>
              <w:keepLines/>
              <w:spacing w:before="40" w:after="120"/>
            </w:pPr>
            <w:r w:rsidRPr="00C60159">
              <w:t xml:space="preserve">6.2.3.1 и 6.2.3.4 </w:t>
            </w:r>
          </w:p>
        </w:tc>
        <w:tc>
          <w:tcPr>
            <w:tcW w:w="894" w:type="dxa"/>
          </w:tcPr>
          <w:p w:rsidR="00CD5334" w:rsidRPr="00C60159" w:rsidRDefault="00CD5334" w:rsidP="00355627">
            <w:pPr>
              <w:keepNext/>
              <w:keepLines/>
              <w:spacing w:before="40" w:after="120"/>
            </w:pPr>
            <w:r w:rsidRPr="00C60159">
              <w:t>До дал</w:t>
            </w:r>
            <w:r w:rsidRPr="00C60159">
              <w:t>ь</w:t>
            </w:r>
            <w:r w:rsidRPr="00C60159">
              <w:t>нейшего указ</w:t>
            </w:r>
            <w:r w:rsidRPr="00C60159">
              <w:t>а</w:t>
            </w:r>
            <w:r w:rsidRPr="00C60159">
              <w:t>ния</w:t>
            </w:r>
          </w:p>
        </w:tc>
        <w:tc>
          <w:tcPr>
            <w:tcW w:w="894" w:type="dxa"/>
          </w:tcPr>
          <w:p w:rsidR="00CD5334" w:rsidRPr="00C60159" w:rsidRDefault="00CD5334" w:rsidP="00355627">
            <w:pPr>
              <w:keepNext/>
              <w:keepLines/>
              <w:spacing w:before="40" w:after="120"/>
            </w:pPr>
          </w:p>
        </w:tc>
      </w:tr>
    </w:tbl>
    <w:p w:rsidR="00CD5334" w:rsidRPr="0022572C" w:rsidRDefault="00CD5334" w:rsidP="00313327">
      <w:pPr>
        <w:pStyle w:val="SingleTxtGR"/>
        <w:spacing w:before="120"/>
      </w:pPr>
      <w:r w:rsidRPr="0022572C">
        <w:t>Внести в таблицу, в раздел "для затворов", следующие изменения:</w:t>
      </w:r>
    </w:p>
    <w:p w:rsidR="00CD5334" w:rsidRPr="0022572C" w:rsidRDefault="00CD5334" w:rsidP="00CD5334">
      <w:pPr>
        <w:pStyle w:val="SingleTxtGR"/>
      </w:pPr>
      <w:r w:rsidRPr="00C60159">
        <w:t>−</w:t>
      </w:r>
      <w:r w:rsidRPr="0022572C">
        <w:tab/>
        <w:t>Включить новые строки следующего содержания: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38"/>
        <w:gridCol w:w="3065"/>
        <w:gridCol w:w="896"/>
        <w:gridCol w:w="882"/>
        <w:gridCol w:w="889"/>
      </w:tblGrid>
      <w:tr w:rsidR="00CD5334" w:rsidRPr="00C60159" w:rsidTr="00355627">
        <w:tc>
          <w:tcPr>
            <w:tcW w:w="1638" w:type="dxa"/>
          </w:tcPr>
          <w:p w:rsidR="00CD5334" w:rsidRPr="00C60159" w:rsidRDefault="00CD5334" w:rsidP="00355627">
            <w:pPr>
              <w:spacing w:before="40" w:after="120"/>
            </w:pPr>
          </w:p>
        </w:tc>
        <w:tc>
          <w:tcPr>
            <w:tcW w:w="3065" w:type="dxa"/>
          </w:tcPr>
          <w:p w:rsidR="00CD5334" w:rsidRPr="00C60159" w:rsidRDefault="00CD5334" w:rsidP="00355627">
            <w:pPr>
              <w:spacing w:before="40" w:after="120"/>
            </w:pPr>
          </w:p>
        </w:tc>
        <w:tc>
          <w:tcPr>
            <w:tcW w:w="896" w:type="dxa"/>
          </w:tcPr>
          <w:p w:rsidR="00CD5334" w:rsidRPr="00C60159" w:rsidRDefault="00CD5334" w:rsidP="00355627">
            <w:pPr>
              <w:spacing w:before="40" w:after="120"/>
            </w:pPr>
          </w:p>
        </w:tc>
        <w:tc>
          <w:tcPr>
            <w:tcW w:w="882" w:type="dxa"/>
          </w:tcPr>
          <w:p w:rsidR="00CD5334" w:rsidRPr="00C60159" w:rsidRDefault="00CD5334" w:rsidP="00355627">
            <w:pPr>
              <w:spacing w:before="40" w:after="120"/>
            </w:pPr>
          </w:p>
        </w:tc>
        <w:tc>
          <w:tcPr>
            <w:tcW w:w="889" w:type="dxa"/>
          </w:tcPr>
          <w:p w:rsidR="00CD5334" w:rsidRPr="00C60159" w:rsidRDefault="00CD5334" w:rsidP="00355627">
            <w:pPr>
              <w:spacing w:before="40" w:after="120"/>
            </w:pPr>
          </w:p>
        </w:tc>
      </w:tr>
      <w:tr w:rsidR="00CD5334" w:rsidRPr="00C60159" w:rsidTr="00355627">
        <w:tc>
          <w:tcPr>
            <w:tcW w:w="1638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EN 13648-1:2008</w:t>
            </w:r>
          </w:p>
        </w:tc>
        <w:tc>
          <w:tcPr>
            <w:tcW w:w="3065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 xml:space="preserve">Криогенные сосуды </w:t>
            </w:r>
            <w:r w:rsidR="00BE3D54">
              <w:t>−</w:t>
            </w:r>
            <w:r w:rsidRPr="00C60159">
              <w:t xml:space="preserve"> Пред</w:t>
            </w:r>
            <w:r w:rsidRPr="00C60159">
              <w:t>о</w:t>
            </w:r>
            <w:r w:rsidRPr="00C60159">
              <w:t>хранительные устройства для защиты от избыточного давл</w:t>
            </w:r>
            <w:r w:rsidRPr="00C60159">
              <w:t>е</w:t>
            </w:r>
            <w:r w:rsidRPr="00C60159">
              <w:t xml:space="preserve">ния </w:t>
            </w:r>
            <w:r w:rsidR="00BE3D54">
              <w:t>−</w:t>
            </w:r>
            <w:r w:rsidRPr="00C60159">
              <w:t xml:space="preserve"> Часть 1: Предохранител</w:t>
            </w:r>
            <w:r w:rsidRPr="00C60159">
              <w:t>ь</w:t>
            </w:r>
            <w:r w:rsidRPr="00C60159">
              <w:t>ные клап</w:t>
            </w:r>
            <w:r w:rsidRPr="00C60159">
              <w:t>а</w:t>
            </w:r>
            <w:r w:rsidRPr="00C60159">
              <w:t>ны для криогенной техники</w:t>
            </w:r>
          </w:p>
        </w:tc>
        <w:tc>
          <w:tcPr>
            <w:tcW w:w="896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 xml:space="preserve">6.2.3.1 и 6.2.3.4 </w:t>
            </w:r>
          </w:p>
        </w:tc>
        <w:tc>
          <w:tcPr>
            <w:tcW w:w="882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До дал</w:t>
            </w:r>
            <w:r w:rsidRPr="00C60159">
              <w:t>ь</w:t>
            </w:r>
            <w:r w:rsidRPr="00C60159">
              <w:t>нейш</w:t>
            </w:r>
            <w:r w:rsidRPr="00C60159">
              <w:t>е</w:t>
            </w:r>
            <w:r w:rsidRPr="00C60159">
              <w:t>го указ</w:t>
            </w:r>
            <w:r w:rsidRPr="00C60159">
              <w:t>а</w:t>
            </w:r>
            <w:r w:rsidRPr="00C60159">
              <w:t>ния</w:t>
            </w:r>
          </w:p>
        </w:tc>
        <w:tc>
          <w:tcPr>
            <w:tcW w:w="889" w:type="dxa"/>
          </w:tcPr>
          <w:p w:rsidR="00CD5334" w:rsidRPr="00C60159" w:rsidRDefault="00CD5334" w:rsidP="00355627">
            <w:pPr>
              <w:spacing w:before="40" w:after="120"/>
            </w:pPr>
          </w:p>
        </w:tc>
      </w:tr>
      <w:tr w:rsidR="00CD5334" w:rsidRPr="00C60159" w:rsidTr="00355627">
        <w:tc>
          <w:tcPr>
            <w:tcW w:w="1638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EN 1626:2008 (за</w:t>
            </w:r>
            <w:r w:rsidR="00BE3D54">
              <w:t> </w:t>
            </w:r>
            <w:r w:rsidRPr="00C60159">
              <w:t>исключен</w:t>
            </w:r>
            <w:r w:rsidRPr="00C60159">
              <w:t>и</w:t>
            </w:r>
            <w:r w:rsidRPr="00C60159">
              <w:t>ем категории кл</w:t>
            </w:r>
            <w:r w:rsidRPr="00C60159">
              <w:t>а</w:t>
            </w:r>
            <w:r w:rsidRPr="00C60159">
              <w:t>панов B)</w:t>
            </w:r>
          </w:p>
        </w:tc>
        <w:tc>
          <w:tcPr>
            <w:tcW w:w="3065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Криогенные сосуды – Клапаны для криоге</w:t>
            </w:r>
            <w:r w:rsidRPr="00C60159">
              <w:t>н</w:t>
            </w:r>
            <w:r w:rsidRPr="00C60159">
              <w:t>ной техники</w:t>
            </w:r>
          </w:p>
        </w:tc>
        <w:tc>
          <w:tcPr>
            <w:tcW w:w="896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6.2.3.1 и 6.2.3.4</w:t>
            </w:r>
          </w:p>
        </w:tc>
        <w:tc>
          <w:tcPr>
            <w:tcW w:w="882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До дал</w:t>
            </w:r>
            <w:r w:rsidRPr="00C60159">
              <w:t>ь</w:t>
            </w:r>
            <w:r w:rsidRPr="00C60159">
              <w:t>нейш</w:t>
            </w:r>
            <w:r w:rsidRPr="00C60159">
              <w:t>е</w:t>
            </w:r>
            <w:r w:rsidRPr="00C60159">
              <w:t>го указ</w:t>
            </w:r>
            <w:r w:rsidRPr="00C60159">
              <w:t>а</w:t>
            </w:r>
            <w:r w:rsidRPr="00C60159">
              <w:t>ния</w:t>
            </w:r>
          </w:p>
        </w:tc>
        <w:tc>
          <w:tcPr>
            <w:tcW w:w="889" w:type="dxa"/>
          </w:tcPr>
          <w:p w:rsidR="00CD5334" w:rsidRPr="00C60159" w:rsidRDefault="00CD5334" w:rsidP="00355627">
            <w:pPr>
              <w:spacing w:before="40" w:after="120"/>
            </w:pPr>
          </w:p>
        </w:tc>
      </w:tr>
    </w:tbl>
    <w:p w:rsidR="00CD5334" w:rsidRPr="0022572C" w:rsidRDefault="00CD5334" w:rsidP="00BE3D54">
      <w:pPr>
        <w:pStyle w:val="SingleTxtGR"/>
        <w:spacing w:before="120"/>
      </w:pPr>
      <w:r w:rsidRPr="0022572C">
        <w:t>6.2.4.2</w:t>
      </w:r>
      <w:r w:rsidRPr="0022572C">
        <w:tab/>
        <w:t>Внести в таблицу следующие изменения: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 </w:t>
      </w:r>
      <w:r w:rsidRPr="0022572C">
        <w:t xml:space="preserve">12863:2002 + </w:t>
      </w:r>
      <w:r w:rsidRPr="0022572C">
        <w:rPr>
          <w:lang w:val="en-GB"/>
        </w:rPr>
        <w:t>A</w:t>
      </w:r>
      <w:r w:rsidRPr="0022572C">
        <w:t>1:2005", в последней коло</w:t>
      </w:r>
      <w:r w:rsidRPr="0022572C">
        <w:t>н</w:t>
      </w:r>
      <w:r w:rsidRPr="0022572C">
        <w:t>ке, заменить "До дальнейшего указания" на "До 31 декабря 2016 года".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После стандарта "</w:t>
      </w:r>
      <w:r w:rsidRPr="0022572C">
        <w:rPr>
          <w:lang w:val="en-GB"/>
        </w:rPr>
        <w:t>EN </w:t>
      </w:r>
      <w:r w:rsidRPr="0022572C">
        <w:t xml:space="preserve">12863:2002 + </w:t>
      </w:r>
      <w:r w:rsidRPr="0022572C">
        <w:rPr>
          <w:lang w:val="en-GB"/>
        </w:rPr>
        <w:t>A</w:t>
      </w:r>
      <w:r w:rsidRPr="0022572C">
        <w:t>1:2005" включить следующую новую строку: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94"/>
        <w:gridCol w:w="3994"/>
        <w:gridCol w:w="1782"/>
      </w:tblGrid>
      <w:tr w:rsidR="00CD5334" w:rsidRPr="00C60159" w:rsidTr="00355627">
        <w:tc>
          <w:tcPr>
            <w:tcW w:w="1594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EN ISO 10462:</w:t>
            </w:r>
            <w:r w:rsidR="00CD0C66">
              <w:br/>
            </w:r>
            <w:r w:rsidRPr="00C60159">
              <w:t>2013</w:t>
            </w:r>
          </w:p>
        </w:tc>
        <w:tc>
          <w:tcPr>
            <w:tcW w:w="3994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 xml:space="preserve">Газовые баллоны </w:t>
            </w:r>
            <w:r w:rsidR="00BE3D54">
              <w:t>−</w:t>
            </w:r>
            <w:r w:rsidRPr="00C60159">
              <w:t xml:space="preserve"> Баллоны для ацетил</w:t>
            </w:r>
            <w:r w:rsidRPr="00C60159">
              <w:t>е</w:t>
            </w:r>
            <w:r w:rsidRPr="00C60159">
              <w:t xml:space="preserve">на </w:t>
            </w:r>
            <w:r w:rsidR="00BE3D54">
              <w:t>−</w:t>
            </w:r>
            <w:r w:rsidRPr="00C60159">
              <w:t xml:space="preserve"> Периодические проверки и обслуж</w:t>
            </w:r>
            <w:r w:rsidRPr="00C60159">
              <w:t>и</w:t>
            </w:r>
            <w:r w:rsidRPr="00C60159">
              <w:t>вание (ISO 10462:2013)</w:t>
            </w:r>
          </w:p>
        </w:tc>
        <w:tc>
          <w:tcPr>
            <w:tcW w:w="1782" w:type="dxa"/>
          </w:tcPr>
          <w:p w:rsidR="00CD5334" w:rsidRPr="00C60159" w:rsidRDefault="00CD5334" w:rsidP="00355627">
            <w:pPr>
              <w:spacing w:before="40" w:after="120"/>
            </w:pPr>
            <w:r w:rsidRPr="00C60159">
              <w:t>Обязательно с 1</w:t>
            </w:r>
            <w:r w:rsidR="00BE3D54">
              <w:t> </w:t>
            </w:r>
            <w:r w:rsidRPr="00C60159">
              <w:t>января 2017 года</w:t>
            </w:r>
          </w:p>
        </w:tc>
      </w:tr>
    </w:tbl>
    <w:p w:rsidR="00CD5334" w:rsidRPr="0022572C" w:rsidRDefault="00CD5334" w:rsidP="00313327">
      <w:pPr>
        <w:pStyle w:val="SingleTxtGR"/>
        <w:spacing w:before="120"/>
      </w:pPr>
      <w:r w:rsidRPr="0022572C">
        <w:t>–</w:t>
      </w:r>
      <w:r w:rsidRPr="0022572C">
        <w:tab/>
        <w:t>Исключить позицию для стандарта "EN 14189:2003".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 ISO </w:t>
      </w:r>
      <w:r w:rsidRPr="0022572C">
        <w:t>22434:2012", в колонке "Ссылка", з</w:t>
      </w:r>
      <w:r w:rsidRPr="0022572C">
        <w:t>а</w:t>
      </w:r>
      <w:r w:rsidRPr="0022572C">
        <w:t>менить "</w:t>
      </w:r>
      <w:r w:rsidRPr="0022572C">
        <w:rPr>
          <w:lang w:val="en-GB"/>
        </w:rPr>
        <w:t>EN ISO</w:t>
      </w:r>
      <w:r w:rsidRPr="0022572C">
        <w:t xml:space="preserve"> 22434:2012" на "</w:t>
      </w:r>
      <w:r w:rsidRPr="0022572C">
        <w:rPr>
          <w:lang w:val="en-GB"/>
        </w:rPr>
        <w:t>EN ISO </w:t>
      </w:r>
      <w:r w:rsidRPr="0022572C">
        <w:t>22434:2011".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 ISO </w:t>
      </w:r>
      <w:r w:rsidRPr="0022572C">
        <w:t>22434:2012", в колонке "Применение", заменить "Обязательно с 1 января 2015 года" на "До дальнейшего указания".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</w:t>
      </w:r>
      <w:r w:rsidRPr="0022572C">
        <w:t xml:space="preserve"> 1440:2008 + </w:t>
      </w:r>
      <w:r w:rsidRPr="0022572C">
        <w:rPr>
          <w:lang w:val="en-GB"/>
        </w:rPr>
        <w:t>A</w:t>
      </w:r>
      <w:r w:rsidRPr="0022572C">
        <w:t>1:2012 (за исключением пр</w:t>
      </w:r>
      <w:r w:rsidRPr="0022572C">
        <w:t>и</w:t>
      </w:r>
      <w:r w:rsidRPr="0022572C">
        <w:t xml:space="preserve">ложений </w:t>
      </w:r>
      <w:r w:rsidRPr="0022572C">
        <w:rPr>
          <w:lang w:val="en-GB"/>
        </w:rPr>
        <w:t>G</w:t>
      </w:r>
      <w:r w:rsidRPr="0022572C">
        <w:t xml:space="preserve"> и </w:t>
      </w:r>
      <w:r w:rsidRPr="0022572C">
        <w:rPr>
          <w:lang w:val="en-GB"/>
        </w:rPr>
        <w:t>H</w:t>
      </w:r>
      <w:r w:rsidRPr="0022572C">
        <w:t>)", в колонке "Применение", заменить "Обязательно с 1 января 2015 года" на "До дальнейшего указания".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6.4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t xml:space="preserve">6.4.13 </w:t>
      </w:r>
      <w:r w:rsidRPr="0022572C">
        <w:rPr>
          <w:lang w:val="en-GB"/>
        </w:rPr>
        <w:t>b</w:t>
      </w:r>
      <w:r w:rsidRPr="0022572C">
        <w:t>)</w:t>
      </w:r>
      <w:r w:rsidRPr="0022572C">
        <w:tab/>
        <w:t>Данная поправка не касается текста на русском языке.</w:t>
      </w:r>
    </w:p>
    <w:p w:rsidR="00CD5334" w:rsidRPr="00813BB7" w:rsidRDefault="00CD5334" w:rsidP="00CD5334">
      <w:pPr>
        <w:pStyle w:val="HChGR"/>
      </w:pPr>
      <w:r w:rsidRPr="00813BB7">
        <w:lastRenderedPageBreak/>
        <w:tab/>
      </w:r>
      <w:r w:rsidRPr="00813BB7">
        <w:tab/>
        <w:t>Глава 6.8</w:t>
      </w:r>
    </w:p>
    <w:p w:rsidR="00CD5334" w:rsidRPr="0022572C" w:rsidRDefault="00CD5334" w:rsidP="00CD5334">
      <w:pPr>
        <w:pStyle w:val="SingleTxtGR"/>
      </w:pPr>
      <w:r w:rsidRPr="0022572C">
        <w:t>6.8.2.3.1</w:t>
      </w:r>
      <w:r w:rsidRPr="0022572C">
        <w:tab/>
        <w:t>Данная поправка не касается текста на русском языке.</w:t>
      </w:r>
    </w:p>
    <w:p w:rsidR="00CD5334" w:rsidRPr="0022572C" w:rsidRDefault="00CD5334" w:rsidP="00CD5334">
      <w:pPr>
        <w:pStyle w:val="SingleTxtGR"/>
        <w:rPr>
          <w:lang/>
        </w:rPr>
      </w:pPr>
      <w:r w:rsidRPr="0022572C">
        <w:rPr>
          <w:lang/>
        </w:rPr>
        <w:t>6.8.2.6.1</w:t>
      </w:r>
      <w:r w:rsidRPr="0022572C">
        <w:rPr>
          <w:lang/>
        </w:rPr>
        <w:tab/>
      </w:r>
      <w:r w:rsidRPr="0022572C">
        <w:t xml:space="preserve">Внести в таблицу, в раздел </w:t>
      </w:r>
      <w:r w:rsidRPr="0022572C">
        <w:rPr>
          <w:lang/>
        </w:rPr>
        <w:t>"</w:t>
      </w:r>
      <w:r w:rsidRPr="0022572C">
        <w:t>Для всех цистерн</w:t>
      </w:r>
      <w:r w:rsidRPr="0022572C">
        <w:rPr>
          <w:lang/>
        </w:rPr>
        <w:t>"</w:t>
      </w:r>
      <w:r w:rsidRPr="0022572C">
        <w:t>,</w:t>
      </w:r>
      <w:r w:rsidRPr="0022572C">
        <w:rPr>
          <w:lang/>
        </w:rPr>
        <w:t xml:space="preserve"> </w:t>
      </w:r>
      <w:r w:rsidRPr="0022572C">
        <w:t>следующие измен</w:t>
      </w:r>
      <w:r w:rsidRPr="0022572C">
        <w:t>е</w:t>
      </w:r>
      <w:r w:rsidRPr="0022572C">
        <w:t>ния</w:t>
      </w:r>
      <w:r w:rsidRPr="0022572C">
        <w:rPr>
          <w:lang/>
        </w:rPr>
        <w:t>: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 </w:t>
      </w:r>
      <w:r w:rsidRPr="0022572C">
        <w:t>14025:2008", в колонке 4, заменить "До</w:t>
      </w:r>
      <w:r w:rsidR="00CD0C66">
        <w:t> </w:t>
      </w:r>
      <w:r w:rsidRPr="0022572C">
        <w:t>дальнейшего указания" на "С 1 июля 2009 года до 31 декабря 2016 года".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После стандарта"</w:t>
      </w:r>
      <w:r w:rsidRPr="0022572C">
        <w:rPr>
          <w:lang w:val="en-GB"/>
        </w:rPr>
        <w:t>EN </w:t>
      </w:r>
      <w:r w:rsidRPr="0022572C">
        <w:t>14025:2008" включить следующую новую строку: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08"/>
        <w:gridCol w:w="2813"/>
        <w:gridCol w:w="842"/>
        <w:gridCol w:w="1239"/>
        <w:gridCol w:w="768"/>
      </w:tblGrid>
      <w:tr w:rsidR="00CD5334" w:rsidRPr="004576B8" w:rsidTr="00355627">
        <w:tc>
          <w:tcPr>
            <w:tcW w:w="1750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EN 14025:2013</w:t>
            </w:r>
          </w:p>
        </w:tc>
        <w:tc>
          <w:tcPr>
            <w:tcW w:w="3009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Цистерны для перевозки опасных грузов</w:t>
            </w:r>
            <w:r w:rsidR="00313327">
              <w:t xml:space="preserve"> −</w:t>
            </w:r>
            <w:r w:rsidRPr="004576B8">
              <w:t xml:space="preserve"> Металл</w:t>
            </w:r>
            <w:r w:rsidRPr="004576B8">
              <w:t>и</w:t>
            </w:r>
            <w:r w:rsidRPr="004576B8">
              <w:t>ческие цисте</w:t>
            </w:r>
            <w:r w:rsidRPr="004576B8">
              <w:t>р</w:t>
            </w:r>
            <w:r w:rsidRPr="004576B8">
              <w:t xml:space="preserve">ны высокого давления </w:t>
            </w:r>
            <w:r w:rsidR="00313327">
              <w:t xml:space="preserve">− </w:t>
            </w:r>
            <w:r w:rsidRPr="004576B8">
              <w:t>Конструкция и изготовление</w:t>
            </w:r>
          </w:p>
        </w:tc>
        <w:tc>
          <w:tcPr>
            <w:tcW w:w="870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6.8.2.1 и 6.8.3.1</w:t>
            </w:r>
          </w:p>
        </w:tc>
        <w:tc>
          <w:tcPr>
            <w:tcW w:w="870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До дал</w:t>
            </w:r>
            <w:r w:rsidRPr="004576B8">
              <w:t>ь</w:t>
            </w:r>
            <w:r w:rsidRPr="004576B8">
              <w:t>нейшего указания</w:t>
            </w:r>
          </w:p>
        </w:tc>
        <w:tc>
          <w:tcPr>
            <w:tcW w:w="871" w:type="dxa"/>
          </w:tcPr>
          <w:p w:rsidR="00CD5334" w:rsidRPr="004576B8" w:rsidRDefault="00CD5334" w:rsidP="00355627">
            <w:pPr>
              <w:spacing w:before="40" w:after="120"/>
            </w:pPr>
          </w:p>
        </w:tc>
      </w:tr>
    </w:tbl>
    <w:p w:rsidR="00CD5334" w:rsidRPr="0022572C" w:rsidRDefault="00CD5334" w:rsidP="00313327">
      <w:pPr>
        <w:pStyle w:val="SingleTxtGR"/>
        <w:spacing w:before="120"/>
      </w:pPr>
      <w:r w:rsidRPr="0022572C">
        <w:t>Внести в таблицу, в раздел "Для цистерн, предназначенных для перевозки газов класса 2", следующие изменения:</w:t>
      </w:r>
    </w:p>
    <w:p w:rsidR="00CD5334" w:rsidRPr="0022572C" w:rsidRDefault="00CD0C66" w:rsidP="00CD5334">
      <w:pPr>
        <w:pStyle w:val="SingleTxtGR"/>
      </w:pPr>
      <w:r>
        <w:t>−</w:t>
      </w:r>
      <w:r w:rsidR="00CD5334" w:rsidRPr="0022572C">
        <w:tab/>
        <w:t>После стандарта "EN 12493:2008 + A1:2012 (за исключением прилож</w:t>
      </w:r>
      <w:r w:rsidR="00CD5334" w:rsidRPr="0022572C">
        <w:t>е</w:t>
      </w:r>
      <w:r w:rsidR="00CD5334" w:rsidRPr="0022572C">
        <w:t>ния</w:t>
      </w:r>
      <w:r>
        <w:t> </w:t>
      </w:r>
      <w:r w:rsidR="00CD5334" w:rsidRPr="0022572C">
        <w:t>C)" включить новую строку следующего содержания: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50"/>
        <w:gridCol w:w="3023"/>
        <w:gridCol w:w="854"/>
        <w:gridCol w:w="868"/>
        <w:gridCol w:w="875"/>
      </w:tblGrid>
      <w:tr w:rsidR="00CD5334" w:rsidRPr="004576B8" w:rsidTr="00355627">
        <w:tc>
          <w:tcPr>
            <w:tcW w:w="1750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EN 12493:2013 (за</w:t>
            </w:r>
            <w:r w:rsidR="00313327">
              <w:t> </w:t>
            </w:r>
            <w:r w:rsidRPr="004576B8">
              <w:t>исключением приложения C)</w:t>
            </w:r>
          </w:p>
        </w:tc>
        <w:tc>
          <w:tcPr>
            <w:tcW w:w="302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Оборудование и вспомогател</w:t>
            </w:r>
            <w:r w:rsidRPr="004576B8">
              <w:t>ь</w:t>
            </w:r>
            <w:r w:rsidRPr="004576B8">
              <w:t xml:space="preserve">ные приспособления для СНГ </w:t>
            </w:r>
            <w:r w:rsidR="00313327">
              <w:t xml:space="preserve">− </w:t>
            </w:r>
            <w:r w:rsidRPr="004576B8">
              <w:t>Сварные стальные ци</w:t>
            </w:r>
            <w:r w:rsidRPr="004576B8">
              <w:t>с</w:t>
            </w:r>
            <w:r w:rsidRPr="004576B8">
              <w:t>терны для сжиженного не</w:t>
            </w:r>
            <w:r w:rsidRPr="004576B8">
              <w:t>ф</w:t>
            </w:r>
            <w:r w:rsidRPr="004576B8">
              <w:t xml:space="preserve">тяного газа (СНГ) </w:t>
            </w:r>
            <w:r w:rsidR="00CD0C66">
              <w:t>−</w:t>
            </w:r>
            <w:r w:rsidRPr="004576B8">
              <w:t xml:space="preserve"> Автоцистерны </w:t>
            </w:r>
            <w:r w:rsidR="00313327">
              <w:t>−</w:t>
            </w:r>
            <w:r w:rsidRPr="004576B8">
              <w:t xml:space="preserve"> Ко</w:t>
            </w:r>
            <w:r w:rsidRPr="004576B8">
              <w:t>н</w:t>
            </w:r>
            <w:r w:rsidRPr="004576B8">
              <w:t>струкция и изг</w:t>
            </w:r>
            <w:r w:rsidRPr="004576B8">
              <w:t>о</w:t>
            </w:r>
            <w:r w:rsidRPr="004576B8">
              <w:t>товление</w:t>
            </w:r>
          </w:p>
          <w:p w:rsidR="00CD5334" w:rsidRPr="00355627" w:rsidRDefault="00CD5334" w:rsidP="00355627">
            <w:pPr>
              <w:spacing w:before="40" w:after="120"/>
              <w:rPr>
                <w:i/>
              </w:rPr>
            </w:pPr>
            <w:r w:rsidRPr="00355627">
              <w:rPr>
                <w:b/>
                <w:i/>
              </w:rPr>
              <w:t>ПРИМЕЧАНИЕ:</w:t>
            </w:r>
            <w:r w:rsidRPr="00355627">
              <w:rPr>
                <w:i/>
              </w:rPr>
              <w:t xml:space="preserve"> "Автоци</w:t>
            </w:r>
            <w:r w:rsidRPr="00355627">
              <w:rPr>
                <w:i/>
              </w:rPr>
              <w:t>с</w:t>
            </w:r>
            <w:r w:rsidRPr="00355627">
              <w:rPr>
                <w:i/>
              </w:rPr>
              <w:t>терны" следует понимать как "встроенные цистерны" и "съемные цистерны" по смыслу ДОПОГ.</w:t>
            </w:r>
          </w:p>
        </w:tc>
        <w:tc>
          <w:tcPr>
            <w:tcW w:w="854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6.8.2.1, 6.8.2.5, 6.8.3.1, 6.8.3.5, 6.8.5.1−</w:t>
            </w:r>
            <w:r w:rsidR="00313327">
              <w:t xml:space="preserve"> </w:t>
            </w:r>
            <w:r w:rsidRPr="004576B8">
              <w:t>6.8.5.3</w:t>
            </w:r>
          </w:p>
        </w:tc>
        <w:tc>
          <w:tcPr>
            <w:tcW w:w="868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До дал</w:t>
            </w:r>
            <w:r w:rsidRPr="004576B8">
              <w:t>ь</w:t>
            </w:r>
            <w:r w:rsidRPr="004576B8">
              <w:t>нейшего указ</w:t>
            </w:r>
            <w:r w:rsidRPr="004576B8">
              <w:t>а</w:t>
            </w:r>
            <w:r w:rsidRPr="004576B8">
              <w:t>ния</w:t>
            </w:r>
          </w:p>
        </w:tc>
        <w:tc>
          <w:tcPr>
            <w:tcW w:w="875" w:type="dxa"/>
          </w:tcPr>
          <w:p w:rsidR="00CD5334" w:rsidRPr="004576B8" w:rsidRDefault="00CD5334" w:rsidP="00355627">
            <w:pPr>
              <w:spacing w:before="40" w:after="120"/>
            </w:pPr>
          </w:p>
        </w:tc>
      </w:tr>
    </w:tbl>
    <w:p w:rsidR="00CD5334" w:rsidRPr="0022572C" w:rsidRDefault="00CD5334" w:rsidP="00313327">
      <w:pPr>
        <w:pStyle w:val="SingleTxtGR"/>
        <w:spacing w:before="120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</w:t>
      </w:r>
      <w:r w:rsidRPr="0022572C">
        <w:t xml:space="preserve"> 14398-2:2003 (за исключением таблицы 1)", в колонке 2, после названия стандарта добавить следующее примечание:</w:t>
      </w:r>
    </w:p>
    <w:p w:rsidR="00CD5334" w:rsidRPr="0022572C" w:rsidRDefault="00CD5334" w:rsidP="00CD5334">
      <w:pPr>
        <w:pStyle w:val="SingleTxtGR"/>
        <w:rPr>
          <w:i/>
        </w:rPr>
      </w:pPr>
      <w:r w:rsidRPr="0022572C">
        <w:rPr>
          <w:i/>
        </w:rPr>
        <w:t>"</w:t>
      </w:r>
      <w:r w:rsidRPr="0022572C">
        <w:rPr>
          <w:b/>
          <w:i/>
        </w:rPr>
        <w:t>ПРИМЕЧАНИЕ</w:t>
      </w:r>
      <w:r w:rsidRPr="0022572C">
        <w:rPr>
          <w:i/>
        </w:rPr>
        <w:t>: Данный стандарт не должен использоваться для газов, п</w:t>
      </w:r>
      <w:r w:rsidRPr="0022572C">
        <w:rPr>
          <w:i/>
        </w:rPr>
        <w:t>е</w:t>
      </w:r>
      <w:r w:rsidRPr="0022572C">
        <w:rPr>
          <w:i/>
        </w:rPr>
        <w:t>ревозимых при температурах ниже −100 ºC".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В позиции для стандарта "</w:t>
      </w:r>
      <w:r w:rsidRPr="0022572C">
        <w:rPr>
          <w:lang w:val="en-GB"/>
        </w:rPr>
        <w:t>EN</w:t>
      </w:r>
      <w:r w:rsidRPr="0022572C">
        <w:t xml:space="preserve"> 14398-2:2003 (за исключением таблицы 1)", в колонке 4, заменить " До дальнейшего указания " на "С 1 января 2005 года и 31 декабря 2016 года".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Pr="0022572C">
        <w:tab/>
        <w:t>После стандарта "</w:t>
      </w:r>
      <w:r w:rsidRPr="0022572C">
        <w:rPr>
          <w:lang w:val="en-GB"/>
        </w:rPr>
        <w:t>EN</w:t>
      </w:r>
      <w:r w:rsidRPr="0022572C">
        <w:t xml:space="preserve"> 14398-2:2003 (за исключением таблицы 1)" вкл</w:t>
      </w:r>
      <w:r w:rsidRPr="0022572C">
        <w:t>ю</w:t>
      </w:r>
      <w:r w:rsidRPr="0022572C">
        <w:t>чить новую строку следующего содержания: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90"/>
        <w:gridCol w:w="2687"/>
        <w:gridCol w:w="1190"/>
        <w:gridCol w:w="952"/>
        <w:gridCol w:w="651"/>
      </w:tblGrid>
      <w:tr w:rsidR="00CD5334" w:rsidRPr="004576B8" w:rsidTr="00355627">
        <w:tc>
          <w:tcPr>
            <w:tcW w:w="1890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lastRenderedPageBreak/>
              <w:t>EN 14398-2:2003 + A2:2008</w:t>
            </w:r>
          </w:p>
        </w:tc>
        <w:tc>
          <w:tcPr>
            <w:tcW w:w="2687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 xml:space="preserve">Криогенные сосуды </w:t>
            </w:r>
            <w:r w:rsidR="00665D5A">
              <w:t>−</w:t>
            </w:r>
            <w:r w:rsidRPr="004576B8">
              <w:t xml:space="preserve"> Кру</w:t>
            </w:r>
            <w:r w:rsidRPr="004576B8">
              <w:t>п</w:t>
            </w:r>
            <w:r w:rsidRPr="004576B8">
              <w:t xml:space="preserve">ные переносные сосуды без вакуумной изоляции </w:t>
            </w:r>
            <w:r w:rsidR="00665D5A">
              <w:t>−</w:t>
            </w:r>
            <w:r w:rsidRPr="004576B8">
              <w:t xml:space="preserve"> Часть 2: Конструкция, изг</w:t>
            </w:r>
            <w:r w:rsidRPr="004576B8">
              <w:t>о</w:t>
            </w:r>
            <w:r w:rsidRPr="004576B8">
              <w:t>товление, проверка и исп</w:t>
            </w:r>
            <w:r w:rsidRPr="004576B8">
              <w:t>ы</w:t>
            </w:r>
            <w:r w:rsidRPr="004576B8">
              <w:t>тания</w:t>
            </w:r>
          </w:p>
          <w:p w:rsidR="00CD5334" w:rsidRPr="00355627" w:rsidRDefault="00CD5334" w:rsidP="00355627">
            <w:pPr>
              <w:keepNext/>
              <w:keepLines/>
              <w:spacing w:before="40" w:after="120"/>
              <w:rPr>
                <w:i/>
              </w:rPr>
            </w:pPr>
            <w:r w:rsidRPr="00355627">
              <w:rPr>
                <w:b/>
                <w:i/>
              </w:rPr>
              <w:t xml:space="preserve">ПРИМЕЧАНИЕ: </w:t>
            </w:r>
            <w:r w:rsidRPr="00355627">
              <w:rPr>
                <w:i/>
              </w:rPr>
              <w:t>Данный стандарт не должен и</w:t>
            </w:r>
            <w:r w:rsidRPr="00355627">
              <w:rPr>
                <w:i/>
              </w:rPr>
              <w:t>с</w:t>
            </w:r>
            <w:r w:rsidRPr="00355627">
              <w:rPr>
                <w:i/>
              </w:rPr>
              <w:t>пользоваться для газов, п</w:t>
            </w:r>
            <w:r w:rsidRPr="00355627">
              <w:rPr>
                <w:i/>
              </w:rPr>
              <w:t>е</w:t>
            </w:r>
            <w:r w:rsidRPr="00355627">
              <w:rPr>
                <w:i/>
              </w:rPr>
              <w:t>ревозимых при температ</w:t>
            </w:r>
            <w:r w:rsidRPr="00355627">
              <w:rPr>
                <w:i/>
              </w:rPr>
              <w:t>у</w:t>
            </w:r>
            <w:r w:rsidRPr="00355627">
              <w:rPr>
                <w:i/>
              </w:rPr>
              <w:t xml:space="preserve">рах ниже </w:t>
            </w:r>
            <w:r w:rsidR="00665D5A" w:rsidRPr="00355627">
              <w:rPr>
                <w:i/>
              </w:rPr>
              <w:t>−</w:t>
            </w:r>
            <w:r w:rsidR="00330271" w:rsidRPr="00355627">
              <w:rPr>
                <w:i/>
              </w:rPr>
              <w:t>100 ºC.</w:t>
            </w:r>
          </w:p>
        </w:tc>
        <w:tc>
          <w:tcPr>
            <w:tcW w:w="1190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>6.8.2.1 (за исключен</w:t>
            </w:r>
            <w:r w:rsidRPr="004576B8">
              <w:t>и</w:t>
            </w:r>
            <w:r w:rsidRPr="004576B8">
              <w:t>ем пунктов 6.8.2.1.17, 6.8.2.1.19 и 6.8.2.1.20), 6.8.2.4, 6.8.3.1 и 6.8.3.4</w:t>
            </w:r>
          </w:p>
        </w:tc>
        <w:tc>
          <w:tcPr>
            <w:tcW w:w="952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>До дал</w:t>
            </w:r>
            <w:r w:rsidRPr="004576B8">
              <w:t>ь</w:t>
            </w:r>
            <w:r w:rsidRPr="004576B8">
              <w:t>нейшего указания</w:t>
            </w:r>
          </w:p>
        </w:tc>
        <w:tc>
          <w:tcPr>
            <w:tcW w:w="651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</w:p>
        </w:tc>
      </w:tr>
    </w:tbl>
    <w:p w:rsidR="00CD5334" w:rsidRPr="0022572C" w:rsidRDefault="00CD5334" w:rsidP="00761A3F">
      <w:pPr>
        <w:pStyle w:val="SingleTxtGR"/>
        <w:keepNext/>
        <w:keepLines/>
        <w:spacing w:before="120"/>
        <w:rPr>
          <w:lang/>
        </w:rPr>
      </w:pPr>
      <w:r w:rsidRPr="0022572C">
        <w:t>–</w:t>
      </w:r>
      <w:r w:rsidRPr="0022572C">
        <w:tab/>
        <w:t>В конце добавить следующую строку: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04"/>
        <w:gridCol w:w="2673"/>
        <w:gridCol w:w="1190"/>
        <w:gridCol w:w="952"/>
        <w:gridCol w:w="651"/>
      </w:tblGrid>
      <w:tr w:rsidR="00CD5334" w:rsidRPr="004576B8" w:rsidTr="00355627">
        <w:tc>
          <w:tcPr>
            <w:tcW w:w="1904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>EN 1626:2008 (за исключением кат</w:t>
            </w:r>
            <w:r w:rsidRPr="004576B8">
              <w:t>е</w:t>
            </w:r>
            <w:r w:rsidRPr="004576B8">
              <w:t>гории клапанов B)</w:t>
            </w:r>
          </w:p>
        </w:tc>
        <w:tc>
          <w:tcPr>
            <w:tcW w:w="2673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>Криогенные сосуды – Кл</w:t>
            </w:r>
            <w:r w:rsidRPr="004576B8">
              <w:t>а</w:t>
            </w:r>
            <w:r w:rsidRPr="004576B8">
              <w:t>паны для криогенной те</w:t>
            </w:r>
            <w:r w:rsidRPr="004576B8">
              <w:t>х</w:t>
            </w:r>
            <w:r w:rsidRPr="004576B8">
              <w:t>ники</w:t>
            </w:r>
          </w:p>
        </w:tc>
        <w:tc>
          <w:tcPr>
            <w:tcW w:w="1190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>6.8.2.4 и 6.8.3.4</w:t>
            </w:r>
          </w:p>
        </w:tc>
        <w:tc>
          <w:tcPr>
            <w:tcW w:w="952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  <w:r w:rsidRPr="004576B8">
              <w:t>До дал</w:t>
            </w:r>
            <w:r w:rsidRPr="004576B8">
              <w:t>ь</w:t>
            </w:r>
            <w:r w:rsidRPr="004576B8">
              <w:t>нейшего указания</w:t>
            </w:r>
          </w:p>
        </w:tc>
        <w:tc>
          <w:tcPr>
            <w:tcW w:w="651" w:type="dxa"/>
          </w:tcPr>
          <w:p w:rsidR="00CD5334" w:rsidRPr="004576B8" w:rsidRDefault="00CD5334" w:rsidP="00355627">
            <w:pPr>
              <w:keepNext/>
              <w:keepLines/>
              <w:spacing w:before="40" w:after="120"/>
            </w:pPr>
          </w:p>
        </w:tc>
      </w:tr>
    </w:tbl>
    <w:p w:rsidR="00CD5334" w:rsidRPr="0022572C" w:rsidRDefault="00CD5334" w:rsidP="00761A3F">
      <w:pPr>
        <w:pStyle w:val="SingleTxtGR"/>
        <w:spacing w:before="120"/>
      </w:pPr>
      <w:r w:rsidRPr="0022572C">
        <w:t>6.8.4 d)</w:t>
      </w:r>
      <w:r w:rsidRPr="0022572C">
        <w:tab/>
        <w:t>Добавить новое специальное положение TT11 (только с левой ст</w:t>
      </w:r>
      <w:r w:rsidRPr="0022572C">
        <w:t>о</w:t>
      </w:r>
      <w:r w:rsidRPr="0022572C">
        <w:t>роны):</w:t>
      </w:r>
    </w:p>
    <w:p w:rsidR="00CD5334" w:rsidRPr="0022572C" w:rsidRDefault="00CD5334" w:rsidP="00CD5334">
      <w:pPr>
        <w:pStyle w:val="SingleTxtGR"/>
      </w:pPr>
      <w:r w:rsidRPr="0022572C">
        <w:t>"</w:t>
      </w:r>
      <w:r w:rsidRPr="00CD0C66">
        <w:rPr>
          <w:b/>
        </w:rPr>
        <w:t>TT11</w:t>
      </w:r>
      <w:r w:rsidRPr="0022572C">
        <w:tab/>
        <w:t>Для встроенных цистерн (автоцистерн) и съемных цистерн, и</w:t>
      </w:r>
      <w:r w:rsidRPr="0022572C">
        <w:t>с</w:t>
      </w:r>
      <w:r w:rsidRPr="0022572C">
        <w:t>пользуемых исключительно для перевозки СНГ, корпуса и сервисное оборуд</w:t>
      </w:r>
      <w:r w:rsidRPr="0022572C">
        <w:t>о</w:t>
      </w:r>
      <w:r w:rsidRPr="0022572C">
        <w:t>вание которых изготовлены из углеродистой стали, во время периодической проверки и по просьбе заявителя гидравлическое испытание может быть зам</w:t>
      </w:r>
      <w:r w:rsidRPr="0022572C">
        <w:t>е</w:t>
      </w:r>
      <w:r w:rsidRPr="0022572C">
        <w:t>нено методами неразрушающего контроля (НРК), перечисленными ниже. Эти методы могут использоваться по отдельности или в совокупности по усмотр</w:t>
      </w:r>
      <w:r w:rsidRPr="0022572C">
        <w:t>е</w:t>
      </w:r>
      <w:r w:rsidRPr="0022572C">
        <w:t>нию компетентного органа, его представителя или проверяющего органа (см. специальное п</w:t>
      </w:r>
      <w:r w:rsidRPr="0022572C">
        <w:t>о</w:t>
      </w:r>
      <w:r w:rsidRPr="0022572C">
        <w:t>ложение TT9):".</w:t>
      </w:r>
    </w:p>
    <w:p w:rsidR="00CD5334" w:rsidRPr="0022572C" w:rsidRDefault="00665D5A" w:rsidP="00CD5334">
      <w:pPr>
        <w:pStyle w:val="SingleTxtGR"/>
      </w:pPr>
      <w:r>
        <w:t>"</w:t>
      </w:r>
      <w:r w:rsidR="00CD5334" w:rsidRPr="0022572C">
        <w:t>–</w:t>
      </w:r>
      <w:r>
        <w:tab/>
      </w:r>
      <w:r w:rsidR="00CD5334" w:rsidRPr="0022572C">
        <w:t>EN ISO 17640:2010 "Неразрушающий контроль сварных соединений – Ультразвуковой контроль – Методы, уровни контроля и оценка";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="00665D5A">
        <w:tab/>
      </w:r>
      <w:r w:rsidRPr="0022572C">
        <w:t>EN ISO 17638:2009 "Неразрушающий контроль сварных соединений – Магнитно-порошковая дефектоскопия с уровнями допуска по дефектам в соо</w:t>
      </w:r>
      <w:r w:rsidRPr="0022572C">
        <w:t>т</w:t>
      </w:r>
      <w:r w:rsidRPr="0022572C">
        <w:t>ветствии с стандартом EN ISO 23278:2009 – Магнитно-порошковая дефект</w:t>
      </w:r>
      <w:r w:rsidRPr="0022572C">
        <w:t>о</w:t>
      </w:r>
      <w:r w:rsidRPr="0022572C">
        <w:t>скопия сварных соединений. Уровни допуска";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="00665D5A">
        <w:tab/>
      </w:r>
      <w:r w:rsidRPr="0022572C">
        <w:t>EN 1711:2000 "Неразрушающий контроль сварных соединений – Инду</w:t>
      </w:r>
      <w:r w:rsidRPr="0022572C">
        <w:t>к</w:t>
      </w:r>
      <w:r w:rsidRPr="0022572C">
        <w:t>ционный контроль сварных соединений с помощью векторного анализа";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="00665D5A">
        <w:tab/>
      </w:r>
      <w:r w:rsidRPr="0022572C">
        <w:t>EN 14127:2011 "Неразрушающий контроль сварных швов – Замер толщ</w:t>
      </w:r>
      <w:r w:rsidRPr="0022572C">
        <w:t>и</w:t>
      </w:r>
      <w:r w:rsidR="00330271">
        <w:t>ны с помощью ультразвука".</w:t>
      </w:r>
    </w:p>
    <w:p w:rsidR="00CD5334" w:rsidRPr="0022572C" w:rsidRDefault="00CD5334" w:rsidP="00CD5334">
      <w:pPr>
        <w:pStyle w:val="SingleTxtGR"/>
      </w:pPr>
      <w:r w:rsidRPr="0022572C">
        <w:t>Персонал, выполняющий НРК, должен обладать соответствующей квалифик</w:t>
      </w:r>
      <w:r w:rsidRPr="0022572C">
        <w:t>а</w:t>
      </w:r>
      <w:r w:rsidRPr="0022572C">
        <w:t>цией и аттестацией и иметь надлежащие теоретические и практические знания в области методов неразрушающего контроля, которые они применяют, назн</w:t>
      </w:r>
      <w:r w:rsidRPr="0022572C">
        <w:t>а</w:t>
      </w:r>
      <w:r w:rsidRPr="0022572C">
        <w:t>чают, регулируют, контролируют или оценивают в соответствии со следующ</w:t>
      </w:r>
      <w:r w:rsidRPr="0022572C">
        <w:t>и</w:t>
      </w:r>
      <w:r w:rsidRPr="0022572C">
        <w:t>ми требованиями:</w:t>
      </w:r>
    </w:p>
    <w:p w:rsidR="00CD5334" w:rsidRPr="0022572C" w:rsidRDefault="00CD5334" w:rsidP="00CD5334">
      <w:pPr>
        <w:pStyle w:val="SingleTxtGR"/>
      </w:pPr>
      <w:r w:rsidRPr="0022572C">
        <w:t>–</w:t>
      </w:r>
      <w:r w:rsidR="00665D5A">
        <w:tab/>
      </w:r>
      <w:r w:rsidRPr="0022572C">
        <w:t>EN ISO 9712:2012 "Неразрушающий контроль – Квалификация и аттест</w:t>
      </w:r>
      <w:r w:rsidRPr="0022572C">
        <w:t>а</w:t>
      </w:r>
      <w:r w:rsidRPr="0022572C">
        <w:t>ция персонала по неразрушающему контролю".</w:t>
      </w:r>
    </w:p>
    <w:p w:rsidR="00CD5334" w:rsidRPr="0022572C" w:rsidRDefault="00CD5334" w:rsidP="00CD5334">
      <w:pPr>
        <w:pStyle w:val="SingleTxtGR"/>
      </w:pPr>
      <w:r w:rsidRPr="0022572C">
        <w:t>После прямого термического воздействия, такого как сварка или резание, на элементы цистерны, находящиеся под давлением, в дополнение к любым пре</w:t>
      </w:r>
      <w:r w:rsidRPr="0022572C">
        <w:t>д</w:t>
      </w:r>
      <w:r w:rsidRPr="0022572C">
        <w:t>писанным мерам НРК проводится гидравлическое испытание.</w:t>
      </w:r>
    </w:p>
    <w:p w:rsidR="00CD5334" w:rsidRPr="0022572C" w:rsidRDefault="00CD5334" w:rsidP="00CD5334">
      <w:pPr>
        <w:pStyle w:val="SingleTxtGR"/>
      </w:pPr>
      <w:r w:rsidRPr="0022572C">
        <w:lastRenderedPageBreak/>
        <w:t>НРК проводится в отношении тех зон корпуса цистерны и оборудования, кот</w:t>
      </w:r>
      <w:r w:rsidRPr="0022572C">
        <w:t>о</w:t>
      </w:r>
      <w:r w:rsidRPr="0022572C">
        <w:t>рые перечислены в таблице ниже: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913"/>
        <w:gridCol w:w="2457"/>
      </w:tblGrid>
      <w:tr w:rsidR="00CD5334" w:rsidRPr="00355627" w:rsidTr="00355627">
        <w:tc>
          <w:tcPr>
            <w:tcW w:w="4913" w:type="dxa"/>
          </w:tcPr>
          <w:p w:rsidR="00CD5334" w:rsidRPr="00355627" w:rsidRDefault="00CD5334" w:rsidP="00355627">
            <w:pPr>
              <w:spacing w:before="40" w:after="120"/>
              <w:rPr>
                <w:b/>
              </w:rPr>
            </w:pPr>
            <w:r w:rsidRPr="00355627">
              <w:rPr>
                <w:b/>
              </w:rPr>
              <w:t>Зона корпуса цистерны и оборудов</w:t>
            </w:r>
            <w:r w:rsidRPr="00355627">
              <w:rPr>
                <w:b/>
              </w:rPr>
              <w:t>а</w:t>
            </w:r>
            <w:r w:rsidRPr="00355627">
              <w:rPr>
                <w:b/>
              </w:rPr>
              <w:t>ния</w:t>
            </w:r>
          </w:p>
        </w:tc>
        <w:tc>
          <w:tcPr>
            <w:tcW w:w="2457" w:type="dxa"/>
          </w:tcPr>
          <w:p w:rsidR="00CD5334" w:rsidRPr="00355627" w:rsidRDefault="00CD5334" w:rsidP="00355627">
            <w:pPr>
              <w:spacing w:before="40" w:after="120"/>
              <w:rPr>
                <w:b/>
              </w:rPr>
            </w:pPr>
            <w:r w:rsidRPr="00355627">
              <w:rPr>
                <w:b/>
              </w:rPr>
              <w:t>НРК</w:t>
            </w:r>
          </w:p>
        </w:tc>
      </w:tr>
      <w:tr w:rsidR="00CD5334" w:rsidRPr="004576B8" w:rsidTr="00355627">
        <w:tc>
          <w:tcPr>
            <w:tcW w:w="491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Корпус: продольные стыковые сварные соед</w:t>
            </w:r>
            <w:r w:rsidRPr="004576B8">
              <w:t>и</w:t>
            </w:r>
            <w:r w:rsidRPr="004576B8">
              <w:t>нения</w:t>
            </w:r>
          </w:p>
        </w:tc>
        <w:tc>
          <w:tcPr>
            <w:tcW w:w="2457" w:type="dxa"/>
            <w:vMerge w:val="restart"/>
          </w:tcPr>
          <w:p w:rsidR="00CD5334" w:rsidRPr="004576B8" w:rsidRDefault="00CD5334" w:rsidP="00355627">
            <w:pPr>
              <w:spacing w:before="40" w:after="120"/>
            </w:pPr>
            <w:r w:rsidRPr="004576B8">
              <w:t>100% НРК с использов</w:t>
            </w:r>
            <w:r w:rsidRPr="004576B8">
              <w:t>а</w:t>
            </w:r>
            <w:r w:rsidRPr="004576B8">
              <w:t>нием одного или нескол</w:t>
            </w:r>
            <w:r w:rsidRPr="004576B8">
              <w:t>ь</w:t>
            </w:r>
            <w:r w:rsidRPr="004576B8">
              <w:t>ких из следующих мет</w:t>
            </w:r>
            <w:r w:rsidRPr="004576B8">
              <w:t>о</w:t>
            </w:r>
            <w:r w:rsidRPr="004576B8">
              <w:t>дов: ультразвуковой ко</w:t>
            </w:r>
            <w:r w:rsidRPr="004576B8">
              <w:t>н</w:t>
            </w:r>
            <w:r w:rsidRPr="004576B8">
              <w:t>троль, магнитно-порошковая дефектоск</w:t>
            </w:r>
            <w:r w:rsidRPr="004576B8">
              <w:t>о</w:t>
            </w:r>
            <w:r w:rsidRPr="004576B8">
              <w:t>пия или индукц</w:t>
            </w:r>
            <w:r w:rsidRPr="004576B8">
              <w:t>и</w:t>
            </w:r>
            <w:r w:rsidRPr="004576B8">
              <w:t>онный контроль</w:t>
            </w:r>
          </w:p>
        </w:tc>
      </w:tr>
      <w:tr w:rsidR="00CD5334" w:rsidRPr="004576B8" w:rsidTr="00355627">
        <w:tc>
          <w:tcPr>
            <w:tcW w:w="491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Корпус: кольцевые стыковые сварные соедин</w:t>
            </w:r>
            <w:r w:rsidRPr="004576B8">
              <w:t>е</w:t>
            </w:r>
            <w:r w:rsidRPr="004576B8">
              <w:t>ния</w:t>
            </w:r>
          </w:p>
        </w:tc>
        <w:tc>
          <w:tcPr>
            <w:tcW w:w="2457" w:type="dxa"/>
            <w:vMerge/>
          </w:tcPr>
          <w:p w:rsidR="00CD5334" w:rsidRPr="004576B8" w:rsidRDefault="00CD5334" w:rsidP="00355627">
            <w:pPr>
              <w:spacing w:before="40" w:after="120"/>
            </w:pPr>
          </w:p>
        </w:tc>
      </w:tr>
      <w:tr w:rsidR="00CD5334" w:rsidRPr="004576B8" w:rsidTr="00355627">
        <w:tc>
          <w:tcPr>
            <w:tcW w:w="491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Присоединительные сварные швы, л</w:t>
            </w:r>
            <w:r w:rsidRPr="004576B8">
              <w:t>ю</w:t>
            </w:r>
            <w:r w:rsidRPr="004576B8">
              <w:t>ки, сопла и швы с зазорами между кромками (внутренние) н</w:t>
            </w:r>
            <w:r w:rsidRPr="004576B8">
              <w:t>е</w:t>
            </w:r>
            <w:r w:rsidRPr="004576B8">
              <w:t>посредс</w:t>
            </w:r>
            <w:r w:rsidRPr="004576B8">
              <w:t>т</w:t>
            </w:r>
            <w:r w:rsidRPr="004576B8">
              <w:t xml:space="preserve">венно на корпусе цистерны </w:t>
            </w:r>
          </w:p>
        </w:tc>
        <w:tc>
          <w:tcPr>
            <w:tcW w:w="2457" w:type="dxa"/>
            <w:vMerge/>
          </w:tcPr>
          <w:p w:rsidR="00CD5334" w:rsidRPr="004576B8" w:rsidRDefault="00CD5334" w:rsidP="00355627">
            <w:pPr>
              <w:spacing w:before="40" w:after="120"/>
            </w:pPr>
          </w:p>
        </w:tc>
      </w:tr>
      <w:tr w:rsidR="00CD5334" w:rsidRPr="004576B8" w:rsidTr="00355627">
        <w:tc>
          <w:tcPr>
            <w:tcW w:w="491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Напряженные зоны накладных листов узла крепл</w:t>
            </w:r>
            <w:r w:rsidRPr="004576B8">
              <w:t>е</w:t>
            </w:r>
            <w:r w:rsidRPr="004576B8">
              <w:t>ния цистерны (над концами кронштейнов плюс 400</w:t>
            </w:r>
            <w:r w:rsidR="00665D5A">
              <w:t> </w:t>
            </w:r>
            <w:r w:rsidRPr="004576B8">
              <w:t>мм вниз с каждой стор</w:t>
            </w:r>
            <w:r w:rsidRPr="004576B8">
              <w:t>о</w:t>
            </w:r>
            <w:r w:rsidRPr="004576B8">
              <w:t>ны)</w:t>
            </w:r>
          </w:p>
        </w:tc>
        <w:tc>
          <w:tcPr>
            <w:tcW w:w="2457" w:type="dxa"/>
            <w:vMerge/>
          </w:tcPr>
          <w:p w:rsidR="00CD5334" w:rsidRPr="004576B8" w:rsidRDefault="00CD5334" w:rsidP="00355627">
            <w:pPr>
              <w:spacing w:before="40" w:after="120"/>
            </w:pPr>
          </w:p>
        </w:tc>
      </w:tr>
      <w:tr w:rsidR="00CD5334" w:rsidRPr="004576B8" w:rsidTr="00355627">
        <w:tc>
          <w:tcPr>
            <w:tcW w:w="491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Сварные швы трубопроводов и другого оборудов</w:t>
            </w:r>
            <w:r w:rsidRPr="004576B8">
              <w:t>а</w:t>
            </w:r>
            <w:r w:rsidRPr="004576B8">
              <w:t>ния</w:t>
            </w:r>
          </w:p>
        </w:tc>
        <w:tc>
          <w:tcPr>
            <w:tcW w:w="2457" w:type="dxa"/>
            <w:vMerge/>
          </w:tcPr>
          <w:p w:rsidR="00CD5334" w:rsidRPr="004576B8" w:rsidRDefault="00CD5334" w:rsidP="00355627">
            <w:pPr>
              <w:spacing w:before="40" w:after="120"/>
            </w:pPr>
          </w:p>
        </w:tc>
      </w:tr>
      <w:tr w:rsidR="00CD5334" w:rsidRPr="004576B8" w:rsidTr="00355627">
        <w:tc>
          <w:tcPr>
            <w:tcW w:w="4913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Корпус: части, которые невозможно проверить виз</w:t>
            </w:r>
            <w:r w:rsidRPr="004576B8">
              <w:t>у</w:t>
            </w:r>
            <w:r w:rsidRPr="004576B8">
              <w:t>ально снаружи</w:t>
            </w:r>
          </w:p>
        </w:tc>
        <w:tc>
          <w:tcPr>
            <w:tcW w:w="2457" w:type="dxa"/>
          </w:tcPr>
          <w:p w:rsidR="00CD5334" w:rsidRPr="004576B8" w:rsidRDefault="00CD5334" w:rsidP="00355627">
            <w:pPr>
              <w:spacing w:before="40" w:after="120"/>
            </w:pPr>
            <w:r w:rsidRPr="004576B8">
              <w:t>Ультразвуковой контроль толщины, изнутри, по сетке с шагом 150 мм (макс</w:t>
            </w:r>
            <w:r w:rsidRPr="004576B8">
              <w:t>и</w:t>
            </w:r>
            <w:r w:rsidRPr="004576B8">
              <w:t>мум)</w:t>
            </w:r>
          </w:p>
        </w:tc>
      </w:tr>
    </w:tbl>
    <w:p w:rsidR="00CD5334" w:rsidRPr="0022572C" w:rsidRDefault="00CD5334" w:rsidP="00665D5A">
      <w:pPr>
        <w:pStyle w:val="SingleTxtGR"/>
        <w:spacing w:before="120"/>
      </w:pPr>
      <w:r w:rsidRPr="0022572C">
        <w:t>Независимо от первоначального стандарта или технических правил по конс</w:t>
      </w:r>
      <w:r w:rsidRPr="0022572C">
        <w:t>т</w:t>
      </w:r>
      <w:r w:rsidRPr="0022572C">
        <w:t>рукции и изготовлению, которые использовались для цистерны, уровни допуска по дефектам устанавливаются согласно требованиям, содержащимся в соотве</w:t>
      </w:r>
      <w:r w:rsidRPr="0022572C">
        <w:t>т</w:t>
      </w:r>
      <w:r w:rsidRPr="0022572C">
        <w:t>ствующих частях стандарта EN 14025:2013 (Цистерны для перевозки опасных грузов – Металлические цистерны высокого давления – Конструкция и изгото</w:t>
      </w:r>
      <w:r w:rsidRPr="0022572C">
        <w:t>в</w:t>
      </w:r>
      <w:r w:rsidRPr="0022572C">
        <w:t>ление), стандарта EN 12493:2013 (Оборудование и вспомогательные присп</w:t>
      </w:r>
      <w:r w:rsidRPr="0022572C">
        <w:t>о</w:t>
      </w:r>
      <w:r w:rsidRPr="0022572C">
        <w:t>собления для СНГ – Сварные стальные цистерны для сжиженных нефтяных г</w:t>
      </w:r>
      <w:r w:rsidRPr="0022572C">
        <w:t>а</w:t>
      </w:r>
      <w:r w:rsidRPr="0022572C">
        <w:t>зов (СНГ) – Автоцистерны – Конструкция и изготовление), стандарта EN ISO 23278:2009 (Неразрушающий контроль сварных соединений – Магнитно-порошковая дефектоскопия сварных соединений – Уровни допуска), или с</w:t>
      </w:r>
      <w:r w:rsidRPr="0022572C">
        <w:t>о</w:t>
      </w:r>
      <w:r w:rsidRPr="0022572C">
        <w:t>гласно допускам, указанным в соответствующем стандарте в области НРК.</w:t>
      </w:r>
    </w:p>
    <w:p w:rsidR="00CD5334" w:rsidRPr="0022572C" w:rsidRDefault="00CD5334" w:rsidP="00CD5334">
      <w:pPr>
        <w:pStyle w:val="SingleTxtGR"/>
      </w:pPr>
      <w:r w:rsidRPr="0022572C">
        <w:t>Если с помощью методов НРК в цистерне обнаруживается недопустимый д</w:t>
      </w:r>
      <w:r w:rsidRPr="0022572C">
        <w:t>е</w:t>
      </w:r>
      <w:r w:rsidRPr="0022572C">
        <w:t>фект, то его следует устранить и провести повторное испытание. Не разрешае</w:t>
      </w:r>
      <w:r w:rsidRPr="0022572C">
        <w:t>т</w:t>
      </w:r>
      <w:r w:rsidRPr="0022572C">
        <w:t>ся проводить гидравлическое испытание цистерны без осуществления необх</w:t>
      </w:r>
      <w:r w:rsidRPr="0022572C">
        <w:t>о</w:t>
      </w:r>
      <w:r w:rsidRPr="0022572C">
        <w:t>димого ремонта.</w:t>
      </w:r>
    </w:p>
    <w:p w:rsidR="00CD5334" w:rsidRPr="0022572C" w:rsidRDefault="00CD5334" w:rsidP="00CD5334">
      <w:pPr>
        <w:pStyle w:val="SingleTxtGR"/>
      </w:pPr>
      <w:r w:rsidRPr="0022572C">
        <w:t>Результаты НРК регистрируются и хранятся в течение всего срока службы ци</w:t>
      </w:r>
      <w:r w:rsidRPr="0022572C">
        <w:t>с</w:t>
      </w:r>
      <w:r w:rsidRPr="0022572C">
        <w:t>терны".</w:t>
      </w:r>
    </w:p>
    <w:p w:rsidR="00CD5334" w:rsidRPr="0022572C" w:rsidRDefault="00CD5334" w:rsidP="00CD5334">
      <w:pPr>
        <w:pStyle w:val="SingleTxtGR"/>
      </w:pPr>
      <w:r w:rsidRPr="0022572C">
        <w:t>6.8.4 е) ТМ3</w:t>
      </w:r>
      <w:r w:rsidR="00910C9D">
        <w:tab/>
      </w:r>
      <w:r w:rsidRPr="0022572C">
        <w:tab/>
        <w:t>Изменить первое предложение следующим образом:</w:t>
      </w:r>
    </w:p>
    <w:p w:rsidR="00CD5334" w:rsidRPr="0022572C" w:rsidRDefault="00CD5334" w:rsidP="00CD5334">
      <w:pPr>
        <w:pStyle w:val="SingleTxtGR"/>
      </w:pPr>
      <w:r w:rsidRPr="0022572C">
        <w:t>"Цистерны должны, кроме того, иметь на табличке, предусмотренной в пун</w:t>
      </w:r>
      <w:r w:rsidRPr="0022572C">
        <w:t>к</w:t>
      </w:r>
      <w:r w:rsidRPr="0022572C">
        <w:t>те</w:t>
      </w:r>
      <w:r w:rsidR="00910C9D">
        <w:t> </w:t>
      </w:r>
      <w:r w:rsidRPr="0022572C">
        <w:t>6.8.2.5.1, указание надлежащего отгрузочного наименования и максимально д</w:t>
      </w:r>
      <w:r w:rsidRPr="0022572C">
        <w:t>о</w:t>
      </w:r>
      <w:r w:rsidRPr="0022572C">
        <w:t>пустимой массы загрузки в кг для данного вещества".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6.10</w:t>
      </w:r>
    </w:p>
    <w:p w:rsidR="00CD5334" w:rsidRPr="0022572C" w:rsidRDefault="00CD5334" w:rsidP="00CD5334">
      <w:pPr>
        <w:pStyle w:val="SingleTxtGR"/>
      </w:pPr>
      <w:r w:rsidRPr="0022572C">
        <w:t xml:space="preserve">6.10.3.8 </w:t>
      </w:r>
      <w:r w:rsidRPr="0022572C">
        <w:rPr>
          <w:lang w:val="en-GB"/>
        </w:rPr>
        <w:t>b</w:t>
      </w:r>
      <w:r w:rsidRPr="0022572C">
        <w:t>)</w:t>
      </w:r>
      <w:r w:rsidRPr="0022572C">
        <w:tab/>
        <w:t>Заменить "на входном и выходном патрубках" на "на всех отве</w:t>
      </w:r>
      <w:r w:rsidRPr="0022572C">
        <w:t>р</w:t>
      </w:r>
      <w:r w:rsidRPr="0022572C">
        <w:t>стиях".</w:t>
      </w:r>
    </w:p>
    <w:p w:rsidR="00CD5334" w:rsidRPr="0022572C" w:rsidRDefault="00CD5334" w:rsidP="00CD5334">
      <w:pPr>
        <w:pStyle w:val="SingleTxtGR"/>
      </w:pPr>
      <w:r w:rsidRPr="0022572C">
        <w:t xml:space="preserve">6.10.3.8 </w:t>
      </w:r>
      <w:r w:rsidRPr="0022572C">
        <w:rPr>
          <w:lang w:val="en-GB"/>
        </w:rPr>
        <w:t>b</w:t>
      </w:r>
      <w:r w:rsidRPr="0022572C">
        <w:t>)</w:t>
      </w:r>
      <w:r w:rsidRPr="0022572C">
        <w:tab/>
        <w:t>Вторая поправка не касается текста на русском языке.</w:t>
      </w:r>
    </w:p>
    <w:p w:rsidR="00CD5334" w:rsidRPr="00813BB7" w:rsidRDefault="00CD5334" w:rsidP="00CD5334">
      <w:pPr>
        <w:pStyle w:val="HChGR"/>
      </w:pPr>
      <w:r w:rsidRPr="00813BB7">
        <w:lastRenderedPageBreak/>
        <w:tab/>
      </w:r>
      <w:r w:rsidRPr="00813BB7">
        <w:tab/>
        <w:t>Глава 6.11</w:t>
      </w:r>
    </w:p>
    <w:p w:rsidR="00CD5334" w:rsidRPr="0022572C" w:rsidRDefault="00CD5334" w:rsidP="00CD5334">
      <w:pPr>
        <w:pStyle w:val="SingleTxtGR"/>
      </w:pPr>
      <w:r w:rsidRPr="0022572C">
        <w:t>6.11.1</w:t>
      </w:r>
      <w:r w:rsidRPr="0022572C">
        <w:tab/>
      </w:r>
      <w:r w:rsidRPr="0022572C">
        <w:tab/>
        <w:t>Изменить следующим образом:</w:t>
      </w:r>
    </w:p>
    <w:p w:rsidR="00CD5334" w:rsidRPr="0022572C" w:rsidRDefault="00CD5334" w:rsidP="00CD5334">
      <w:pPr>
        <w:pStyle w:val="SingleTxtGR"/>
      </w:pPr>
      <w:r w:rsidRPr="0022572C">
        <w:t>"6.11.1</w:t>
      </w:r>
      <w:r w:rsidRPr="0022572C">
        <w:tab/>
        <w:t>(Зарезервирован)".</w:t>
      </w:r>
    </w:p>
    <w:p w:rsidR="00CD5334" w:rsidRPr="0022572C" w:rsidRDefault="00CD5334" w:rsidP="00CD5334">
      <w:pPr>
        <w:pStyle w:val="SingleTxtGR"/>
      </w:pPr>
      <w:r w:rsidRPr="0022572C">
        <w:t>6.11.4.1</w:t>
      </w:r>
      <w:r w:rsidRPr="0022572C">
        <w:tab/>
        <w:t>В примечании после "591" включить: ", 592".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7.1</w:t>
      </w:r>
    </w:p>
    <w:p w:rsidR="00CD5334" w:rsidRPr="0022572C" w:rsidRDefault="00CD5334" w:rsidP="00CD5334">
      <w:pPr>
        <w:pStyle w:val="SingleTxtGR"/>
      </w:pPr>
      <w:r w:rsidRPr="0022572C">
        <w:t>7.1.3</w:t>
      </w:r>
      <w:r w:rsidRPr="0022572C">
        <w:tab/>
      </w:r>
      <w:r w:rsidRPr="00692403">
        <w:tab/>
      </w:r>
      <w:r w:rsidRPr="0022572C">
        <w:t>После "591 (по состоянию на 1 октября 2007 года, третье издание)," включить: "592 (по состоянию на 1 октября 2013 года, второе издание),".</w:t>
      </w:r>
    </w:p>
    <w:p w:rsidR="00CD5334" w:rsidRPr="0022572C" w:rsidRDefault="00CD5334" w:rsidP="00CD5334">
      <w:pPr>
        <w:pStyle w:val="SingleTxtGR"/>
      </w:pPr>
      <w:r w:rsidRPr="0022572C">
        <w:t>7.1.3</w:t>
      </w:r>
      <w:r w:rsidRPr="0022572C">
        <w:tab/>
      </w:r>
      <w:r w:rsidRPr="00CD5334">
        <w:tab/>
      </w:r>
      <w:r w:rsidRPr="0022572C">
        <w:t>В конце после "591" включить: ", 592".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7.3</w:t>
      </w:r>
    </w:p>
    <w:p w:rsidR="00CD5334" w:rsidRPr="0022572C" w:rsidRDefault="00CD5334" w:rsidP="00CD5334">
      <w:pPr>
        <w:pStyle w:val="SingleTxtGR"/>
      </w:pPr>
      <w:r w:rsidRPr="0022572C">
        <w:t>7.3.2.4</w:t>
      </w:r>
      <w:r w:rsidRPr="0022572C">
        <w:tab/>
        <w:t>Исключить "(код ВК2)".</w:t>
      </w:r>
    </w:p>
    <w:p w:rsidR="00CD5334" w:rsidRPr="0022572C" w:rsidRDefault="00CD5334" w:rsidP="00CD5334">
      <w:pPr>
        <w:pStyle w:val="SingleTxtGR"/>
        <w:rPr>
          <w:bCs/>
        </w:rPr>
      </w:pPr>
      <w:r w:rsidRPr="0022572C">
        <w:rPr>
          <w:bCs/>
        </w:rPr>
        <w:t>7.3.2.6.1</w:t>
      </w:r>
      <w:r w:rsidRPr="0022572C">
        <w:t xml:space="preserve"> </w:t>
      </w:r>
      <w:r w:rsidRPr="0022572C">
        <w:rPr>
          <w:lang w:val="en-GB"/>
        </w:rPr>
        <w:t>b</w:t>
      </w:r>
      <w:r>
        <w:t>)</w:t>
      </w:r>
      <w:r w:rsidRPr="0022572C">
        <w:tab/>
        <w:t>Данная поправка не касается текста на русском языке.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7.5</w:t>
      </w:r>
    </w:p>
    <w:p w:rsidR="00CD5334" w:rsidRPr="0022572C" w:rsidRDefault="00CD5334" w:rsidP="00CD5334">
      <w:pPr>
        <w:pStyle w:val="SingleTxtGR"/>
      </w:pPr>
      <w:r w:rsidRPr="0022572C">
        <w:t>7.5.1</w:t>
      </w:r>
      <w:r w:rsidRPr="0022572C">
        <w:tab/>
      </w:r>
      <w:r w:rsidRPr="00692403">
        <w:tab/>
      </w:r>
      <w:r w:rsidRPr="0022572C">
        <w:t>Включить новый пункт следующего содержания:</w:t>
      </w:r>
    </w:p>
    <w:p w:rsidR="00CD5334" w:rsidRPr="0022572C" w:rsidRDefault="00CD5334" w:rsidP="00CD5334">
      <w:pPr>
        <w:pStyle w:val="SingleTxtGR"/>
      </w:pPr>
      <w:r w:rsidRPr="0022572C">
        <w:t>"7.5.1.6</w:t>
      </w:r>
      <w:r w:rsidRPr="0022572C">
        <w:tab/>
        <w:t>Все средства удержания должны загружаться и выгружаться в с</w:t>
      </w:r>
      <w:r w:rsidRPr="0022572C">
        <w:t>о</w:t>
      </w:r>
      <w:r w:rsidRPr="0022572C">
        <w:t>ответствии с тем способом обработки, для которого они были сконструированы и, при необходимости, испытаны".</w:t>
      </w:r>
    </w:p>
    <w:p w:rsidR="00CD5334" w:rsidRPr="0022572C" w:rsidRDefault="00CD5334" w:rsidP="00CD5334">
      <w:pPr>
        <w:pStyle w:val="SingleTxtGR"/>
      </w:pPr>
      <w:r w:rsidRPr="0022572C">
        <w:t>7.5.9</w:t>
      </w:r>
      <w:r w:rsidRPr="0022572C">
        <w:tab/>
      </w:r>
      <w:r w:rsidRPr="00692403">
        <w:tab/>
      </w:r>
      <w:r w:rsidRPr="0022572C">
        <w:t>В конце включить следующее новое предложение: "Запрещение к</w:t>
      </w:r>
      <w:r w:rsidRPr="0022572C">
        <w:t>у</w:t>
      </w:r>
      <w:r w:rsidRPr="0022572C">
        <w:t>рения также распространяется на использование электронных сигарет и анал</w:t>
      </w:r>
      <w:r w:rsidRPr="0022572C">
        <w:t>о</w:t>
      </w:r>
      <w:r w:rsidRPr="0022572C">
        <w:t>гичных устройств".</w:t>
      </w:r>
    </w:p>
    <w:p w:rsidR="00CD5334" w:rsidRPr="0022572C" w:rsidRDefault="00CD5334" w:rsidP="00CD5334">
      <w:pPr>
        <w:pStyle w:val="SingleTxtGR"/>
      </w:pPr>
      <w:r w:rsidRPr="0022572C">
        <w:t>7.5.11</w:t>
      </w:r>
      <w:r w:rsidRPr="00CD5334">
        <w:tab/>
      </w:r>
      <w:r w:rsidRPr="0022572C">
        <w:tab/>
        <w:t>В конце добавить дополнительное положение следующего соде</w:t>
      </w:r>
      <w:r w:rsidRPr="0022572C">
        <w:t>р</w:t>
      </w:r>
      <w:r w:rsidRPr="0022572C">
        <w:t>жания:</w:t>
      </w:r>
    </w:p>
    <w:p w:rsidR="00CD5334" w:rsidRPr="0022572C" w:rsidRDefault="00CD5334" w:rsidP="00CD5334">
      <w:pPr>
        <w:pStyle w:val="SingleTxtGR"/>
      </w:pPr>
      <w:r w:rsidRPr="0022572C">
        <w:t>"CV37</w:t>
      </w:r>
      <w:r w:rsidRPr="0022572C">
        <w:tab/>
        <w:t>Перед перевозкой алюминия побочные продукты плавки или ал</w:t>
      </w:r>
      <w:r w:rsidRPr="0022572C">
        <w:t>ю</w:t>
      </w:r>
      <w:r w:rsidRPr="0022572C">
        <w:t>миния побочные продукты переплавки должны быть охлаждены до температ</w:t>
      </w:r>
      <w:r w:rsidRPr="0022572C">
        <w:t>у</w:t>
      </w:r>
      <w:r w:rsidRPr="0022572C">
        <w:t>ры окружающей среды до погрузки. Крытые брезентом транспортные средства и крытые брезентом контейнеры должны быть водонепроницаемыми. На загр</w:t>
      </w:r>
      <w:r w:rsidRPr="0022572C">
        <w:t>у</w:t>
      </w:r>
      <w:r w:rsidRPr="0022572C">
        <w:t>зочных дверях закрытых транспортных средств и закрытых контейнеров дол</w:t>
      </w:r>
      <w:r w:rsidRPr="0022572C">
        <w:t>ж</w:t>
      </w:r>
      <w:r w:rsidRPr="0022572C">
        <w:t>ны быть нанесены следующие надписи, состоящие из букв высотой не менее 25</w:t>
      </w:r>
      <w:r w:rsidR="00330271">
        <w:t> </w:t>
      </w:r>
      <w:r w:rsidRPr="0022572C">
        <w:t>мм:</w:t>
      </w:r>
    </w:p>
    <w:p w:rsidR="00CD5334" w:rsidRPr="0022572C" w:rsidRDefault="00CD5334" w:rsidP="00CD5334">
      <w:pPr>
        <w:pStyle w:val="SingleTxtGR"/>
        <w:jc w:val="center"/>
      </w:pPr>
      <w:r w:rsidRPr="0022572C">
        <w:t>"ВНИМАНИЕ</w:t>
      </w:r>
      <w:r w:rsidRPr="00692403">
        <w:br/>
      </w:r>
      <w:r w:rsidRPr="0022572C">
        <w:t>ЗАКРЫТОЕ СРЕДСТВО УДЕРЖАНИЯ</w:t>
      </w:r>
      <w:r w:rsidRPr="00692403">
        <w:br/>
      </w:r>
      <w:r w:rsidRPr="0022572C">
        <w:t>ОТКРЫВАТЬ ОСТОРОЖНО"</w:t>
      </w:r>
    </w:p>
    <w:p w:rsidR="00CD5334" w:rsidRPr="0022572C" w:rsidRDefault="00CD5334" w:rsidP="00CD5334">
      <w:pPr>
        <w:pStyle w:val="SingleTxtGR"/>
      </w:pPr>
      <w:r w:rsidRPr="0022572C">
        <w:t>Эти надписи должны быть сделаны на соответствующем, с точки зрения груз</w:t>
      </w:r>
      <w:r w:rsidRPr="0022572C">
        <w:t>о</w:t>
      </w:r>
      <w:r w:rsidRPr="0022572C">
        <w:t>отправителя, языке".</w:t>
      </w:r>
    </w:p>
    <w:p w:rsidR="00CD5334" w:rsidRPr="00813BB7" w:rsidRDefault="00CD5334" w:rsidP="00CD5334">
      <w:pPr>
        <w:pStyle w:val="HChGR"/>
      </w:pPr>
      <w:r w:rsidRPr="00813BB7">
        <w:lastRenderedPageBreak/>
        <w:tab/>
      </w:r>
      <w:r w:rsidRPr="00813BB7">
        <w:tab/>
        <w:t>Глава 8.3</w:t>
      </w:r>
    </w:p>
    <w:p w:rsidR="00CD5334" w:rsidRPr="0022572C" w:rsidRDefault="00CD5334" w:rsidP="00CD5334">
      <w:pPr>
        <w:pStyle w:val="SingleTxtGR"/>
      </w:pPr>
      <w:r w:rsidRPr="0022572C">
        <w:t>8.3.5</w:t>
      </w:r>
      <w:r w:rsidRPr="0022572C">
        <w:tab/>
      </w:r>
      <w:r w:rsidRPr="00692403">
        <w:tab/>
      </w:r>
      <w:r w:rsidRPr="0022572C">
        <w:t>В конце включить следующее новое предложение: "Запрещение к</w:t>
      </w:r>
      <w:r w:rsidRPr="0022572C">
        <w:t>у</w:t>
      </w:r>
      <w:r w:rsidRPr="0022572C">
        <w:t>рения также распространяется на использование электронных сигарет и анал</w:t>
      </w:r>
      <w:r w:rsidRPr="0022572C">
        <w:t>о</w:t>
      </w:r>
      <w:r w:rsidRPr="0022572C">
        <w:t>гичных устройств".</w:t>
      </w:r>
    </w:p>
    <w:p w:rsidR="00CD5334" w:rsidRPr="0022572C" w:rsidRDefault="00CD5334" w:rsidP="00CD5334">
      <w:pPr>
        <w:pStyle w:val="SingleTxtGR"/>
      </w:pPr>
      <w:r w:rsidRPr="0022572C">
        <w:t>8.3.8</w:t>
      </w:r>
      <w:r w:rsidRPr="0022572C">
        <w:tab/>
      </w:r>
      <w:r w:rsidRPr="00692403">
        <w:tab/>
      </w:r>
      <w:r w:rsidRPr="0022572C">
        <w:t>Заменить "прицепа категории O</w:t>
      </w:r>
      <w:r w:rsidRPr="0022572C">
        <w:rPr>
          <w:vertAlign w:val="subscript"/>
        </w:rPr>
        <w:t>3</w:t>
      </w:r>
      <w:r w:rsidRPr="0022572C">
        <w:t xml:space="preserve"> или O</w:t>
      </w:r>
      <w:r w:rsidRPr="0022572C">
        <w:rPr>
          <w:vertAlign w:val="subscript"/>
        </w:rPr>
        <w:t>4</w:t>
      </w:r>
      <w:r w:rsidRPr="0022572C">
        <w:t>" на "прицепа с максимал</w:t>
      </w:r>
      <w:r w:rsidRPr="0022572C">
        <w:t>ь</w:t>
      </w:r>
      <w:r w:rsidRPr="0022572C">
        <w:t>ной массой свыше 3,5 т".</w:t>
      </w:r>
    </w:p>
    <w:p w:rsidR="00CD5334" w:rsidRPr="0022572C" w:rsidRDefault="00CD5334" w:rsidP="00CD5334">
      <w:pPr>
        <w:pStyle w:val="SingleTxtGR"/>
      </w:pPr>
      <w:r w:rsidRPr="0022572C">
        <w:t>8.5 S1 (3)</w:t>
      </w:r>
      <w:r w:rsidRPr="0022572C">
        <w:tab/>
        <w:t>В конце включить следующее новое предложение: "Запрещение к</w:t>
      </w:r>
      <w:r w:rsidRPr="0022572C">
        <w:t>у</w:t>
      </w:r>
      <w:r w:rsidRPr="0022572C">
        <w:t>рения также распространяется на использование электронных сигарет и анал</w:t>
      </w:r>
      <w:r w:rsidRPr="0022572C">
        <w:t>о</w:t>
      </w:r>
      <w:r w:rsidRPr="0022572C">
        <w:t>гичных устройств".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9.1</w:t>
      </w:r>
    </w:p>
    <w:p w:rsidR="00CD5334" w:rsidRPr="0022572C" w:rsidRDefault="00CD5334" w:rsidP="00CD5334">
      <w:pPr>
        <w:pStyle w:val="SingleTxtGR"/>
      </w:pPr>
      <w:r w:rsidRPr="0022572C">
        <w:t>9.1.1.1</w:t>
      </w:r>
      <w:r w:rsidRPr="0022572C">
        <w:tab/>
        <w:t>Обновить ссылку на СР.3 в сноске 1 следующим образом: "Док</w:t>
      </w:r>
      <w:r w:rsidRPr="0022572C">
        <w:t>у</w:t>
      </w:r>
      <w:r w:rsidRPr="0022572C">
        <w:t>мент ЕЭК ООН, TRANS/WP.29/78/Rev.3, с поправками".</w:t>
      </w:r>
    </w:p>
    <w:p w:rsidR="00CD5334" w:rsidRPr="0022572C" w:rsidRDefault="00CD5334" w:rsidP="00CD5334">
      <w:pPr>
        <w:pStyle w:val="SingleTxtGR"/>
      </w:pPr>
      <w:r w:rsidRPr="0022572C">
        <w:t>9.1.1.2</w:t>
      </w:r>
      <w:r w:rsidRPr="0022572C">
        <w:tab/>
        <w:t>В определении "Транспортное средство официально утве</w:t>
      </w:r>
      <w:r w:rsidRPr="0022572C">
        <w:t>р</w:t>
      </w:r>
      <w:r w:rsidRPr="0022572C">
        <w:t>жденного типа" исключить "или Директивой 98/91/EC</w:t>
      </w:r>
      <w:r w:rsidRPr="0022572C">
        <w:rPr>
          <w:vertAlign w:val="superscript"/>
        </w:rPr>
        <w:t>3</w:t>
      </w:r>
      <w:r w:rsidRPr="0022572C">
        <w:t>".</w:t>
      </w:r>
    </w:p>
    <w:p w:rsidR="00CD5334" w:rsidRPr="0022572C" w:rsidRDefault="00CD5334" w:rsidP="00CD5334">
      <w:pPr>
        <w:pStyle w:val="SingleTxtGR"/>
      </w:pPr>
      <w:r w:rsidRPr="0022572C">
        <w:t>9.1.1.2</w:t>
      </w:r>
      <w:r w:rsidRPr="0022572C">
        <w:tab/>
        <w:t>Исключить сноску 3.</w:t>
      </w:r>
    </w:p>
    <w:p w:rsidR="00CD5334" w:rsidRPr="0022572C" w:rsidRDefault="00CD5334" w:rsidP="00CD5334">
      <w:pPr>
        <w:pStyle w:val="SingleTxtGR"/>
      </w:pPr>
      <w:r w:rsidRPr="0022572C">
        <w:t>9.1.2.1</w:t>
      </w:r>
      <w:r w:rsidRPr="0022572C">
        <w:tab/>
        <w:t>Перенумеровать сноску 4 на 3.</w:t>
      </w:r>
    </w:p>
    <w:p w:rsidR="00CD5334" w:rsidRPr="0022572C" w:rsidRDefault="00CD5334" w:rsidP="00CD5334">
      <w:pPr>
        <w:pStyle w:val="SingleTxtGR"/>
      </w:pPr>
      <w:r w:rsidRPr="0022572C">
        <w:t>9.1.2.2</w:t>
      </w:r>
      <w:r w:rsidRPr="0022572C">
        <w:tab/>
        <w:t>Во втором предложении исключить "или Директивой 98/91/EC</w:t>
      </w:r>
      <w:r w:rsidRPr="0022572C">
        <w:rPr>
          <w:vertAlign w:val="superscript"/>
        </w:rPr>
        <w:t>3</w:t>
      </w:r>
      <w:r w:rsidRPr="0022572C">
        <w:t>" и "или указанной директивы".</w:t>
      </w:r>
    </w:p>
    <w:p w:rsidR="00CD5334" w:rsidRPr="0022572C" w:rsidRDefault="00CD5334" w:rsidP="00CD5334">
      <w:pPr>
        <w:pStyle w:val="SingleTxtGR"/>
      </w:pPr>
      <w:r w:rsidRPr="0022572C">
        <w:t>9.1.2.2</w:t>
      </w:r>
      <w:r w:rsidRPr="0022572C">
        <w:tab/>
        <w:t>Исключить сноску 3.</w:t>
      </w:r>
    </w:p>
    <w:p w:rsidR="00CD5334" w:rsidRPr="0022572C" w:rsidRDefault="00CD5334" w:rsidP="00CD5334">
      <w:pPr>
        <w:pStyle w:val="SingleTxtGR"/>
      </w:pPr>
      <w:r w:rsidRPr="0022572C">
        <w:t>9.1.3.5</w:t>
      </w:r>
      <w:r w:rsidRPr="0022572C">
        <w:tab/>
        <w:t>В примечании 1 к образцу свидетельства о допущении транспор</w:t>
      </w:r>
      <w:r w:rsidRPr="0022572C">
        <w:t>т</w:t>
      </w:r>
      <w:r w:rsidRPr="0022572C">
        <w:t>ных средств заменить "Директиве 97/27/ЕС" на "Директиве 2007/46/EC".</w:t>
      </w:r>
    </w:p>
    <w:p w:rsidR="00CD5334" w:rsidRPr="00813BB7" w:rsidRDefault="00CD5334" w:rsidP="00CD5334">
      <w:pPr>
        <w:pStyle w:val="HChGR"/>
      </w:pPr>
      <w:r w:rsidRPr="00813BB7">
        <w:tab/>
      </w:r>
      <w:r w:rsidRPr="00813BB7">
        <w:tab/>
        <w:t>Глава 9.2</w:t>
      </w:r>
    </w:p>
    <w:p w:rsidR="00CD5334" w:rsidRPr="0022572C" w:rsidRDefault="00CD5334" w:rsidP="00CD5334">
      <w:pPr>
        <w:pStyle w:val="SingleTxtGR"/>
      </w:pPr>
      <w:r w:rsidRPr="0022572C">
        <w:t>9.2.3.1.1</w:t>
      </w:r>
      <w:r w:rsidRPr="0022572C">
        <w:tab/>
        <w:t>Исключить "или Директивы 71/320/EEC</w:t>
      </w:r>
      <w:r w:rsidRPr="0022572C">
        <w:rPr>
          <w:vertAlign w:val="superscript"/>
        </w:rPr>
        <w:t>5</w:t>
      </w:r>
      <w:r w:rsidRPr="0022572C">
        <w:t>".</w:t>
      </w:r>
    </w:p>
    <w:p w:rsidR="00CD5334" w:rsidRPr="0022572C" w:rsidRDefault="00CD5334" w:rsidP="00CD5334">
      <w:pPr>
        <w:pStyle w:val="SingleTxtGR"/>
      </w:pPr>
      <w:r w:rsidRPr="0022572C">
        <w:t>9.2.3.1.1</w:t>
      </w:r>
      <w:r w:rsidRPr="0022572C">
        <w:tab/>
        <w:t>Исключить сноску 5.</w:t>
      </w:r>
    </w:p>
    <w:p w:rsidR="00CD5334" w:rsidRPr="0022572C" w:rsidRDefault="00CD5334" w:rsidP="00CD5334">
      <w:pPr>
        <w:pStyle w:val="SingleTxtGR"/>
      </w:pPr>
      <w:r w:rsidRPr="0022572C">
        <w:t>9.2.4.7.1</w:t>
      </w:r>
      <w:r w:rsidRPr="0022572C">
        <w:tab/>
        <w:t>Исключить "и Директивы 2001/56/EC</w:t>
      </w:r>
      <w:r w:rsidRPr="0022572C">
        <w:rPr>
          <w:vertAlign w:val="superscript"/>
        </w:rPr>
        <w:t>7</w:t>
      </w:r>
      <w:r w:rsidRPr="0022572C">
        <w:t xml:space="preserve"> с поправками".</w:t>
      </w:r>
    </w:p>
    <w:p w:rsidR="00CD5334" w:rsidRPr="0022572C" w:rsidRDefault="00CD5334" w:rsidP="00CD5334">
      <w:pPr>
        <w:pStyle w:val="SingleTxtGR"/>
      </w:pPr>
      <w:r w:rsidRPr="0022572C">
        <w:t>9.2.4.7.1</w:t>
      </w:r>
      <w:r w:rsidRPr="0022572C">
        <w:tab/>
        <w:t>Исключить сноску 7.</w:t>
      </w:r>
    </w:p>
    <w:p w:rsidR="00CD5334" w:rsidRPr="0022572C" w:rsidRDefault="00CD5334" w:rsidP="00CD5334">
      <w:pPr>
        <w:pStyle w:val="SingleTxtGR"/>
      </w:pPr>
      <w:r w:rsidRPr="0022572C">
        <w:t>9.2.5</w:t>
      </w:r>
      <w:r w:rsidRPr="0022572C">
        <w:tab/>
      </w:r>
      <w:r w:rsidR="00910C9D">
        <w:tab/>
      </w:r>
      <w:r w:rsidRPr="0022572C">
        <w:t>В сноске 8 исключить: "В качестве альтернативы могут применят</w:t>
      </w:r>
      <w:r w:rsidRPr="0022572C">
        <w:t>ь</w:t>
      </w:r>
      <w:r w:rsidRPr="0022572C">
        <w:t>ся соответствующие положения Директивы 92/24/EEC Совета от 31 марта 1992</w:t>
      </w:r>
      <w:r w:rsidR="00910C9D">
        <w:t> </w:t>
      </w:r>
      <w:r w:rsidRPr="0022572C">
        <w:t xml:space="preserve">года (первоначально опубликованной в Official Journal of the European Communities </w:t>
      </w:r>
      <w:r w:rsidRPr="0022572C">
        <w:rPr>
          <w:lang w:val="en-US"/>
        </w:rPr>
        <w:t>No</w:t>
      </w:r>
      <w:r w:rsidRPr="0022572C">
        <w:t>. L 129 от 14 мая 1992 года) с поправками, при условии что они были изменены в соответствии с последним измененным вариантом Правил №</w:t>
      </w:r>
      <w:r w:rsidR="00910C9D">
        <w:t> </w:t>
      </w:r>
      <w:r w:rsidRPr="0022572C">
        <w:t>89 ЕЭК, действовавшим на момент официального утверждения транспортн</w:t>
      </w:r>
      <w:r w:rsidRPr="0022572C">
        <w:t>о</w:t>
      </w:r>
      <w:r w:rsidRPr="0022572C">
        <w:t>го средс</w:t>
      </w:r>
      <w:r w:rsidRPr="0022572C">
        <w:t>т</w:t>
      </w:r>
      <w:r w:rsidRPr="0022572C">
        <w:t>ва".</w:t>
      </w:r>
    </w:p>
    <w:p w:rsidR="00CD5334" w:rsidRPr="0022572C" w:rsidRDefault="00CD5334" w:rsidP="00CD5334">
      <w:pPr>
        <w:pStyle w:val="SingleTxtGR"/>
      </w:pPr>
      <w:r w:rsidRPr="0022572C">
        <w:t>9.2.6</w:t>
      </w:r>
      <w:r w:rsidRPr="0022572C">
        <w:tab/>
      </w:r>
      <w:r w:rsidR="00910C9D">
        <w:tab/>
      </w:r>
      <w:r w:rsidRPr="0022572C">
        <w:t>Исключить "или Директивы 94/20/EC</w:t>
      </w:r>
      <w:r w:rsidRPr="0022572C">
        <w:rPr>
          <w:vertAlign w:val="superscript"/>
        </w:rPr>
        <w:t>10</w:t>
      </w:r>
      <w:r w:rsidRPr="0022572C">
        <w:t>".</w:t>
      </w:r>
    </w:p>
    <w:p w:rsidR="00CD5334" w:rsidRPr="0022572C" w:rsidRDefault="00CD5334" w:rsidP="00CD5334">
      <w:pPr>
        <w:pStyle w:val="SingleTxtGR"/>
      </w:pPr>
      <w:r w:rsidRPr="0022572C">
        <w:t>9.2.6</w:t>
      </w:r>
      <w:r w:rsidRPr="0022572C">
        <w:tab/>
      </w:r>
      <w:r w:rsidR="00910C9D">
        <w:tab/>
      </w:r>
      <w:r w:rsidRPr="0022572C">
        <w:t>Исключить сноску 10.</w:t>
      </w:r>
    </w:p>
    <w:p w:rsidR="00CD5334" w:rsidRPr="0022572C" w:rsidRDefault="00CD5334" w:rsidP="00CD5334">
      <w:pPr>
        <w:pStyle w:val="SingleTxtGR"/>
      </w:pPr>
      <w:r w:rsidRPr="0022572C">
        <w:t>В главе 9.2 изменить нумерацию сносок 3 и 4 на</w:t>
      </w:r>
      <w:r w:rsidR="00330271">
        <w:t xml:space="preserve"> соответственно</w:t>
      </w:r>
      <w:r w:rsidRPr="0022572C">
        <w:t xml:space="preserve"> 2 и 3, сн</w:t>
      </w:r>
      <w:r w:rsidRPr="0022572C">
        <w:t>о</w:t>
      </w:r>
      <w:r w:rsidRPr="0022572C">
        <w:t>ски</w:t>
      </w:r>
      <w:r w:rsidR="00910C9D">
        <w:t> </w:t>
      </w:r>
      <w:r w:rsidR="00330271">
        <w:t>6 на 4 и сносок 8 и 9 на</w:t>
      </w:r>
      <w:r w:rsidRPr="0022572C">
        <w:t xml:space="preserve"> соответственно 5 и 6.</w:t>
      </w:r>
    </w:p>
    <w:p w:rsidR="00A86293" w:rsidRPr="00910C9D" w:rsidRDefault="00CD5334" w:rsidP="00910C9D">
      <w:pPr>
        <w:spacing w:before="120"/>
        <w:jc w:val="center"/>
        <w:rPr>
          <w:u w:val="single"/>
        </w:rPr>
      </w:pPr>
      <w:r w:rsidRPr="00910C9D">
        <w:rPr>
          <w:u w:val="single"/>
        </w:rPr>
        <w:tab/>
      </w:r>
      <w:r w:rsidRPr="00910C9D">
        <w:rPr>
          <w:u w:val="single"/>
        </w:rPr>
        <w:tab/>
      </w:r>
      <w:r w:rsidRPr="00910C9D">
        <w:rPr>
          <w:u w:val="single"/>
        </w:rPr>
        <w:tab/>
      </w:r>
    </w:p>
    <w:sectPr w:rsidR="00A86293" w:rsidRPr="00910C9D" w:rsidSect="00FB18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E7" w:rsidRDefault="006048E7">
      <w:r>
        <w:rPr>
          <w:lang w:val="en-US"/>
        </w:rPr>
        <w:tab/>
      </w:r>
      <w:r>
        <w:separator/>
      </w:r>
    </w:p>
  </w:endnote>
  <w:endnote w:type="continuationSeparator" w:id="0">
    <w:p w:rsidR="006048E7" w:rsidRDefault="0060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24" w:rsidRPr="009A6F4A" w:rsidRDefault="00D15024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8509C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GE.14-03567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24" w:rsidRPr="009A6F4A" w:rsidRDefault="00D15024">
    <w:pPr>
      <w:pStyle w:val="ac"/>
      <w:rPr>
        <w:lang w:val="en-US"/>
      </w:rPr>
    </w:pPr>
    <w:r>
      <w:rPr>
        <w:lang w:val="en-US"/>
      </w:rPr>
      <w:t>GE.14-03567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8509C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941"/>
      <w:gridCol w:w="4648"/>
      <w:gridCol w:w="1266"/>
    </w:tblGrid>
    <w:tr w:rsidR="00D15024" w:rsidTr="00355627">
      <w:trPr>
        <w:trHeight w:val="438"/>
      </w:trPr>
      <w:tc>
        <w:tcPr>
          <w:tcW w:w="4068" w:type="dxa"/>
          <w:vAlign w:val="bottom"/>
        </w:tcPr>
        <w:p w:rsidR="00D15024" w:rsidRDefault="00D15024" w:rsidP="00296D2C">
          <w:r w:rsidRPr="00355627">
            <w:rPr>
              <w:lang w:val="en-US"/>
            </w:rPr>
            <w:t>GE.14-03567  (R)  170614  170614</w:t>
          </w:r>
        </w:p>
      </w:tc>
      <w:tc>
        <w:tcPr>
          <w:tcW w:w="4663" w:type="dxa"/>
          <w:vMerge w:val="restart"/>
          <w:vAlign w:val="bottom"/>
        </w:tcPr>
        <w:p w:rsidR="00D15024" w:rsidRDefault="0068509C" w:rsidP="00355627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>
                <wp:extent cx="2705100" cy="228600"/>
                <wp:effectExtent l="19050" t="0" r="0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D15024" w:rsidRDefault="0068509C" w:rsidP="0035562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38175" cy="638175"/>
                <wp:effectExtent l="19050" t="0" r="9525" b="0"/>
                <wp:docPr id="3" name="Рисунок 3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5024" w:rsidRPr="00355627" w:rsidTr="00355627">
      <w:tc>
        <w:tcPr>
          <w:tcW w:w="4068" w:type="dxa"/>
          <w:vAlign w:val="bottom"/>
        </w:tcPr>
        <w:p w:rsidR="00D15024" w:rsidRPr="00355627" w:rsidRDefault="00D15024" w:rsidP="0035562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556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15024" w:rsidRDefault="00D15024" w:rsidP="00296D2C"/>
      </w:tc>
      <w:tc>
        <w:tcPr>
          <w:tcW w:w="1124" w:type="dxa"/>
          <w:vMerge/>
        </w:tcPr>
        <w:p w:rsidR="00D15024" w:rsidRDefault="00D15024" w:rsidP="00296D2C"/>
      </w:tc>
    </w:tr>
  </w:tbl>
  <w:p w:rsidR="00D15024" w:rsidRDefault="00D15024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E7" w:rsidRPr="00F71F63" w:rsidRDefault="006048E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048E7" w:rsidRPr="00F71F63" w:rsidRDefault="006048E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048E7" w:rsidRPr="00635E86" w:rsidRDefault="006048E7" w:rsidP="00635E8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24" w:rsidRPr="00E71A0F" w:rsidRDefault="00D15024">
    <w:pPr>
      <w:pStyle w:val="a9"/>
      <w:rPr>
        <w:lang w:val="en-US"/>
      </w:rPr>
    </w:pPr>
    <w:r>
      <w:rPr>
        <w:lang w:val="en-US"/>
      </w:rPr>
      <w:t>ECE/TRANS/WP.15/222/Add.1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24" w:rsidRPr="009A6F4A" w:rsidRDefault="00D15024">
    <w:pPr>
      <w:pStyle w:val="a9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/TRANS/WP.15/222/Add.1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0E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30A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6F4F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13327"/>
    <w:rsid w:val="003215F5"/>
    <w:rsid w:val="00330271"/>
    <w:rsid w:val="00332891"/>
    <w:rsid w:val="00355627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298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14E6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69C3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48E7"/>
    <w:rsid w:val="00606A3E"/>
    <w:rsid w:val="006115AA"/>
    <w:rsid w:val="006120AE"/>
    <w:rsid w:val="006161D7"/>
    <w:rsid w:val="00635E86"/>
    <w:rsid w:val="00636A37"/>
    <w:rsid w:val="006501A5"/>
    <w:rsid w:val="006567B2"/>
    <w:rsid w:val="00662ADE"/>
    <w:rsid w:val="00664106"/>
    <w:rsid w:val="00665D5A"/>
    <w:rsid w:val="006756F1"/>
    <w:rsid w:val="00677773"/>
    <w:rsid w:val="006805FC"/>
    <w:rsid w:val="0068509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1A3F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3BD0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07FF7"/>
    <w:rsid w:val="00910C9D"/>
    <w:rsid w:val="00915B0A"/>
    <w:rsid w:val="00926904"/>
    <w:rsid w:val="00926A5C"/>
    <w:rsid w:val="009372F0"/>
    <w:rsid w:val="00955022"/>
    <w:rsid w:val="00957B4D"/>
    <w:rsid w:val="00964EEA"/>
    <w:rsid w:val="00980C86"/>
    <w:rsid w:val="00990083"/>
    <w:rsid w:val="009B1D9B"/>
    <w:rsid w:val="009B4074"/>
    <w:rsid w:val="009C30BB"/>
    <w:rsid w:val="009C60BE"/>
    <w:rsid w:val="009E41F9"/>
    <w:rsid w:val="009E485E"/>
    <w:rsid w:val="009E6279"/>
    <w:rsid w:val="009F00A6"/>
    <w:rsid w:val="009F0443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8629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14AC"/>
    <w:rsid w:val="00B81305"/>
    <w:rsid w:val="00B94512"/>
    <w:rsid w:val="00BB17DC"/>
    <w:rsid w:val="00BB1AF9"/>
    <w:rsid w:val="00BB4C4A"/>
    <w:rsid w:val="00BD3CAE"/>
    <w:rsid w:val="00BD5F3C"/>
    <w:rsid w:val="00BE3D54"/>
    <w:rsid w:val="00C0778D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D0C66"/>
    <w:rsid w:val="00CD5334"/>
    <w:rsid w:val="00CE3D6F"/>
    <w:rsid w:val="00CE79A5"/>
    <w:rsid w:val="00CF0042"/>
    <w:rsid w:val="00CF262F"/>
    <w:rsid w:val="00D025D5"/>
    <w:rsid w:val="00D15024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6CCA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E00E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  <w:rsid w:val="007E71C9"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rsid w:val="007E71C9"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</Template>
  <TotalTime>1</TotalTime>
  <Pages>13</Pages>
  <Words>3664</Words>
  <Characters>20888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cp:lastModifiedBy>Ibragimov</cp:lastModifiedBy>
  <cp:revision>2</cp:revision>
  <cp:lastPrinted>2014-06-17T13:45:00Z</cp:lastPrinted>
  <dcterms:created xsi:type="dcterms:W3CDTF">2015-04-23T08:35:00Z</dcterms:created>
  <dcterms:modified xsi:type="dcterms:W3CDTF">2015-04-23T08:35:00Z</dcterms:modified>
</cp:coreProperties>
</file>